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Charlie's Bank you are only allowed to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deposit £2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at a time and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withdraw £3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at a time.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Imagine Alison deposits £2, another £2, another £2, another £2 and then finally withdraws £3. She now has an extra £5 in her account.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other amounts of money is it possible for Alison to change her account balance by?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Charlie's Bank wants to change its rules whilst ensuring that its customers can still change their account balance by any total.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Alison is only allowed to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deposit £3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at a time and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withdraw £7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at a time, will she be able change her account balance by any total?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Explore some other deposit and withdrawal amounts.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Alison is allowed to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deposit £x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and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withdraw £y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what has to be true about x and y to make sure it is possible to change the account balance by any total?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9923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150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150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Strange Bank Account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150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150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zhac+r2EowP5S7tcGIo7bl9jAA==">AMUW2mUNlKCOCi//5/MOmyMaXubEe2Dkd9R/ODOTOIpLcq/XWBOuAW9JxLiGFb60gEE4iUQ0+ai/zsg9lHJk5zbxHuboFJsx32L1jy5zkBaNbilF31Xrc0Q=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