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word/media/image3.png" ContentType="image/png"/>
  <Override PartName="/word/media/image1.png" ContentType="image/png"/>
  <Override PartName="/word/media/image2.png" ContentType="image/png"/>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Fonts w:ascii="Liberation Sans" w:hAnsi="Liberation Sans"/>
        </w:rPr>
        <w:drawing>
          <wp:inline distT="0" distB="0" distL="0" distR="0">
            <wp:extent cx="6120130" cy="288353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6120130" cy="2883535"/>
                    </a:xfrm>
                    <a:prstGeom prst="rect">
                      <a:avLst/>
                    </a:prstGeom>
                  </pic:spPr>
                </pic:pic>
              </a:graphicData>
            </a:graphic>
          </wp:inline>
        </w:drawing>
      </w:r>
      <w:r>
        <w:rPr>
          <w:rFonts w:ascii="Liberation Sans" w:hAnsi="Liberation Sans"/>
        </w:rPr>
        <w:br/>
        <w:br/>
        <w:t>I guess we are all very familiar with using dice in all kind of environments. Many teachers have their favourite dice games and they can observe their pupils enjoying the game whilst reinforcing some of their basic numeracy skills.</w:t>
        <w:br/>
        <w:br/>
      </w:r>
      <w:r>
        <w:rPr>
          <w:rStyle w:val="StrongEmphasis"/>
          <w:rFonts w:ascii="Liberation Sans" w:hAnsi="Liberation Sans"/>
        </w:rPr>
        <w:t>Dice for number work</w:t>
      </w:r>
      <w:r>
        <w:rPr>
          <w:rFonts w:ascii="Liberation Sans" w:hAnsi="Liberation Sans"/>
        </w:rPr>
        <w:br/>
        <w:t>Using dice with younger children, or with pupils who need to have their confidence boosted is probably best done using the usual 1-6 dice with dots on. Give a small group of children a die each, and keep one for yourself. (Working on a soft surface can reduce the noise distraction!) After you've all rolled the dice, ask</w:t>
      </w:r>
    </w:p>
    <w:p>
      <w:pPr>
        <w:pStyle w:val="Normal"/>
        <w:jc w:val="center"/>
        <w:rPr>
          <w:rFonts w:ascii="Liberation Sans" w:hAnsi="Liberation Sans"/>
        </w:rPr>
      </w:pPr>
      <w:r>
        <w:rPr>
          <w:rFonts w:ascii="Liberation Sans" w:hAnsi="Liberation Sans"/>
        </w:rPr>
        <w:t>“</w:t>
      </w:r>
      <w:r>
        <w:rPr>
          <w:rFonts w:ascii="Liberation Sans" w:hAnsi="Liberation Sans"/>
        </w:rPr>
        <w:t>What can you see?”</w:t>
      </w:r>
    </w:p>
    <w:p>
      <w:pPr>
        <w:pStyle w:val="Normal"/>
        <w:jc w:val="center"/>
        <w:rPr>
          <w:rFonts w:ascii="Liberation Sans" w:hAnsi="Liberation Sans"/>
        </w:rPr>
      </w:pPr>
      <w:r>
        <w:rPr>
          <w:rFonts w:ascii="Liberation Sans" w:hAnsi="Liberation Sans"/>
        </w:rPr>
        <w:t>“</w:t>
      </w:r>
      <w:r>
        <w:rPr>
          <w:rFonts w:ascii="Liberation Sans" w:hAnsi="Liberation Sans"/>
        </w:rPr>
        <w:t>Have we all got the same?”</w:t>
      </w:r>
    </w:p>
    <w:p>
      <w:pPr>
        <w:pStyle w:val="Normal"/>
        <w:spacing w:before="0" w:after="283"/>
        <w:jc w:val="center"/>
        <w:rPr>
          <w:rFonts w:ascii="Liberation Sans" w:hAnsi="Liberation Sans"/>
        </w:rPr>
      </w:pPr>
      <w:r>
        <w:rPr>
          <w:rFonts w:ascii="Liberation Sans" w:hAnsi="Liberation Sans"/>
        </w:rPr>
        <w:t>“</w:t>
      </w:r>
      <w:r>
        <w:rPr>
          <w:rFonts w:ascii="Liberation Sans" w:hAnsi="Liberation Sans"/>
        </w:rPr>
        <w:t>Tell me about yours.”</w:t>
      </w:r>
    </w:p>
    <w:p>
      <w:pPr>
        <w:pStyle w:val="Normal"/>
        <w:spacing w:before="0" w:after="283"/>
        <w:rPr>
          <w:rFonts w:ascii="Liberation Sans" w:hAnsi="Liberation Sans"/>
        </w:rPr>
      </w:pPr>
      <w:r>
        <w:rPr>
          <w:rFonts w:ascii="Liberation Sans" w:hAnsi="Liberation Sans"/>
        </w:rPr>
        <w:t>The pace is obviously governed by each contribution that comes along and the conversation may be more fruitful if you don't start with a predetermined outcome. There are lots of responses and prompts you can make that will be appropriate throughout quite a short session.</w:t>
      </w:r>
    </w:p>
    <w:p>
      <w:pPr>
        <w:pStyle w:val="Normal"/>
        <w:jc w:val="center"/>
        <w:rPr>
          <w:rFonts w:ascii="Liberation Sans" w:hAnsi="Liberation Sans"/>
        </w:rPr>
      </w:pPr>
      <w:r>
        <w:rPr>
          <w:rFonts w:ascii="Liberation Sans" w:hAnsi="Liberation Sans"/>
        </w:rPr>
        <w:t>“</w:t>
      </w:r>
      <w:r>
        <w:rPr>
          <w:rFonts w:ascii="Liberation Sans" w:hAnsi="Liberation Sans"/>
        </w:rPr>
        <w:t>Who has the most dots?”</w:t>
        <w:br/>
        <w:t>“Do you think anyone has the same number of dots as me?”</w:t>
        <w:br/>
        <w:t>“You have two dots on yours, can we all turn our dice over and around so we all have just two dots?”</w:t>
        <w:br/>
        <w:t>“WOW! Can we do that again?”</w:t>
      </w:r>
    </w:p>
    <w:p>
      <w:pPr>
        <w:pStyle w:val="Normal"/>
        <w:spacing w:before="0" w:after="0"/>
        <w:rPr>
          <w:rFonts w:ascii="Liberation Sans" w:hAnsi="Liberation Sans"/>
        </w:rPr>
      </w:pPr>
      <w:r>
        <w:rPr>
          <w:rFonts w:ascii="Liberation Sans" w:hAnsi="Liberation Sans"/>
        </w:rPr>
        <w:br/>
        <w:t>As the talk continues pupils become more confident to add their own thoughts, and the beginnings of number recognition, counting and addition may well occur.</w:t>
      </w:r>
    </w:p>
    <w:p>
      <w:pPr>
        <w:pStyle w:val="Normal"/>
        <w:spacing w:before="0" w:after="0"/>
        <w:rPr>
          <w:rFonts w:ascii="Liberation Sans" w:hAnsi="Liberation Sans"/>
        </w:rPr>
      </w:pPr>
      <w:r>
        <w:rPr>
          <w:rFonts w:ascii="Liberation Sans" w:hAnsi="Liberation Sans"/>
        </w:rPr>
      </w:r>
    </w:p>
    <w:p>
      <w:pPr>
        <w:pStyle w:val="Heading4"/>
        <w:rPr>
          <w:rFonts w:ascii="Liberation Sans" w:hAnsi="Liberation Sans"/>
        </w:rPr>
      </w:pPr>
      <w:r>
        <w:rPr>
          <w:rFonts w:ascii="Liberation Sans" w:hAnsi="Liberation Sans"/>
        </w:rPr>
        <w:t>Special dice</w:t>
      </w:r>
    </w:p>
    <w:p>
      <w:pPr>
        <w:pStyle w:val="TextBody"/>
        <w:spacing w:before="0" w:after="0"/>
        <w:rPr>
          <w:rFonts w:ascii="Liberation Sans" w:hAnsi="Liberation Sans"/>
        </w:rPr>
      </w:pPr>
      <w:r>
        <w:rPr>
          <w:rFonts w:ascii="Liberation Sans" w:hAnsi="Liberation Sans"/>
        </w:rPr>
        <w:t>One way of extending the use of dice to help pupils develop their thinking further is to bring in some of the less usual dice – those with a different range of numbers on them. Just showing some 0 to 9 dice in place of the usual 1 to 6 dice can give the opportunity for you to ask some good open questions.</w:t>
      </w:r>
    </w:p>
    <w:p>
      <w:pPr>
        <w:pStyle w:val="TextBody"/>
        <w:jc w:val="center"/>
        <w:rPr>
          <w:rFonts w:ascii="Liberation Sans" w:hAnsi="Liberation Sans"/>
        </w:rPr>
      </w:pPr>
      <w:r>
        <w:rPr>
          <w:rFonts w:ascii="Liberation Sans" w:hAnsi="Liberation Sans"/>
        </w:rPr>
        <w:t>"What's different about this dice ?"</w:t>
        <w:br/>
        <w:t>"Could we play that game again with this one?"</w:t>
        <w:br/>
        <w:t>"Will that make any difference to the game?”</w:t>
      </w:r>
    </w:p>
    <w:p>
      <w:pPr>
        <w:pStyle w:val="TextBody"/>
        <w:rPr/>
      </w:pPr>
      <w:r>
        <w:rPr>
          <w:rFonts w:ascii="Liberation Sans" w:hAnsi="Liberation Sans"/>
        </w:rPr>
        <w:t>Give the children some time to think and you may be surprised where the discussion goes. Will the game will go quicker, slower or much the same? (It's always good to add in the option of “the same” when talking with pupils about something being more or being less.)</w:t>
        <w:br/>
        <w:br/>
        <w:t>Another die that can act as a catalyst to thinking is one with faces numbered 1,2,3,1,2,3, in place of 1-6. Try it out - you may be surprised. Use sticky labels to cover up the 4,5,6, or if you have them, make your own from a blank cube*. Remember also that there are dice with varying numbers of faces giving rise to some quite large numbers. I once had a die the size of a billiard ball that had 100 faces!</w:t>
        <w:br/>
        <w:br/>
        <w:t>Another way of getting into the larger numbers is by having two 0 – 9 dice of different colours so that one will determine the tens numeral and the other the units.</w:t>
        <w:br/>
        <w:br/>
      </w:r>
      <w:r>
        <w:rPr>
          <w:rStyle w:val="StrongEmphasis"/>
          <w:rFonts w:ascii="Liberation Sans" w:hAnsi="Liberation Sans"/>
        </w:rPr>
        <w:t>Dice for shape and space</w:t>
      </w:r>
      <w:r>
        <w:rPr>
          <w:rFonts w:ascii="Liberation Sans" w:hAnsi="Liberation Sans"/>
        </w:rPr>
        <w:br/>
        <w:t>Returning to the 1-6 dotty dice there are useful activities</w:t>
      </w:r>
      <w:r>
        <w:drawing>
          <wp:anchor behindDoc="0" distT="0" distB="0" distL="0" distR="0" simplePos="0" locked="0" layoutInCell="1" allowOverlap="1" relativeHeight="12">
            <wp:simplePos x="0" y="0"/>
            <wp:positionH relativeFrom="column">
              <wp:posOffset>3548380</wp:posOffset>
            </wp:positionH>
            <wp:positionV relativeFrom="line">
              <wp:posOffset>375285</wp:posOffset>
            </wp:positionV>
            <wp:extent cx="2571750" cy="2409825"/>
            <wp:effectExtent l="0" t="0" r="0" b="0"/>
            <wp:wrapSquare wrapText="larges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2571750" cy="2409825"/>
                    </a:xfrm>
                    <a:prstGeom prst="rect">
                      <a:avLst/>
                    </a:prstGeom>
                  </pic:spPr>
                </pic:pic>
              </a:graphicData>
            </a:graphic>
          </wp:anchor>
        </w:drawing>
      </w:r>
      <w:r>
        <w:rPr>
          <w:rFonts w:ascii="Liberation Sans" w:hAnsi="Liberation Sans"/>
        </w:rPr>
        <w:t xml:space="preserve"> </w:t>
      </w:r>
      <w:r>
        <w:rPr>
          <w:rFonts w:ascii="Liberation Sans" w:hAnsi="Liberation Sans"/>
        </w:rPr>
        <w:t>that can be used to develop of spatial awareness. Imagine having dice placed in a corner and seeing what totals the dots make.</w:t>
        <w:br/>
        <w:t>It's not too difficult to count the dots as long as long as the starting point is remembered, something which seems to develop slowly with some pupils. So, in the example above we have 14 dots visible. Giving the challenge of finding the lowest/highest numbers possible, or asking if the same totals could be achieved with different faces showing, for example, can lead to a longer investigation. Some pupils could just use one die to start with whilst others could go straight into using three or even more.</w:t>
        <w:br/>
        <w:br/>
      </w:r>
      <w:r>
        <w:rPr>
          <w:rStyle w:val="StrongEmphasis"/>
          <w:rFonts w:ascii="Liberation Sans" w:hAnsi="Liberation Sans"/>
        </w:rPr>
        <w:t>NRICH activities using Dice</w:t>
      </w:r>
      <w:r>
        <w:rPr>
          <w:rFonts w:ascii="Liberation Sans" w:hAnsi="Liberation Sans"/>
        </w:rPr>
        <w:br/>
        <w:t xml:space="preserve">At NRICH we have a lots of number of activities that use dice. We try very hard to have activities that have a Low Threshold and a High Ceiling, so that pupils of lower ability can get into the activity and get somewhere, whereas the most able can easily be extended through the activity. You can read more about this </w:t>
      </w:r>
      <w:hyperlink r:id="rId4">
        <w:r>
          <w:rPr>
            <w:rStyle w:val="InternetLink"/>
            <w:rFonts w:ascii="Liberation Sans" w:hAnsi="Liberation Sans"/>
          </w:rPr>
          <w:t>here</w:t>
        </w:r>
      </w:hyperlink>
      <w:r>
        <w:rPr>
          <w:rFonts w:ascii="Liberation Sans" w:hAnsi="Liberation Sans"/>
        </w:rPr>
        <w:t>.</w:t>
        <w:br/>
        <w:br/>
        <w:t xml:space="preserve">Using dice to explore simple mathematical operations are found in </w:t>
      </w:r>
      <w:hyperlink r:id="rId5">
        <w:r>
          <w:rPr>
            <w:rStyle w:val="InternetLink"/>
            <w:rFonts w:ascii="Liberation Sans" w:hAnsi="Liberation Sans"/>
          </w:rPr>
          <w:t>Roll these Dice</w:t>
        </w:r>
      </w:hyperlink>
      <w:r>
        <w:rPr>
          <w:rFonts w:ascii="Liberation Sans" w:hAnsi="Liberation Sans"/>
        </w:rPr>
        <w:br/>
        <w:t xml:space="preserve">and </w:t>
      </w:r>
      <w:hyperlink r:id="rId6">
        <w:r>
          <w:rPr>
            <w:rStyle w:val="InternetLink"/>
            <w:rFonts w:ascii="Liberation Sans" w:hAnsi="Liberation Sans"/>
          </w:rPr>
          <w:t>Tug of War</w:t>
        </w:r>
      </w:hyperlink>
      <w:r>
        <w:rPr>
          <w:rFonts w:ascii="Liberation Sans" w:hAnsi="Liberation Sans"/>
        </w:rPr>
        <w:t>.</w:t>
        <w:br/>
        <w:br/>
        <w:t xml:space="preserve">Looking at the numbers (whether dots or numerals) on the faces of the dice can be explored in the activity </w:t>
      </w:r>
      <w:hyperlink r:id="rId7">
        <w:r>
          <w:rPr>
            <w:rStyle w:val="InternetLink"/>
            <w:rFonts w:ascii="Liberation Sans" w:hAnsi="Liberation Sans"/>
          </w:rPr>
          <w:t>Taking a Die for a Walk</w:t>
        </w:r>
      </w:hyperlink>
      <w:r>
        <w:rPr>
          <w:rFonts w:ascii="Liberation Sans" w:hAnsi="Liberation Sans"/>
        </w:rPr>
        <w:t xml:space="preserve">. This does however require some good fine motor skills unless you have one of those lovely very large foam dice measuring about 20 cm! Sometimes we have pupils who do seem to be very slow at the numbers side of mathematics but who seem to be coping much better with the spatial. So moving from </w:t>
      </w:r>
      <w:hyperlink r:id="rId8">
        <w:r>
          <w:rPr>
            <w:rStyle w:val="InternetLink"/>
            <w:rFonts w:ascii="Liberation Sans" w:hAnsi="Liberation Sans"/>
          </w:rPr>
          <w:t>Taking a Die for a Walk</w:t>
        </w:r>
      </w:hyperlink>
      <w:r>
        <w:rPr>
          <w:rFonts w:ascii="Liberation Sans" w:hAnsi="Liberation Sans"/>
        </w:rPr>
        <w:t xml:space="preserve"> to the interactivity </w:t>
      </w:r>
      <w:hyperlink r:id="rId9">
        <w:r>
          <w:rPr>
            <w:rStyle w:val="InternetLink"/>
            <w:rFonts w:ascii="Liberation Sans" w:hAnsi="Liberation Sans"/>
          </w:rPr>
          <w:t>Roll the Dice</w:t>
        </w:r>
      </w:hyperlink>
      <w:r>
        <w:rPr>
          <w:rFonts w:ascii="Liberation Sans" w:hAnsi="Liberation Sans"/>
        </w:rPr>
        <w:t xml:space="preserve"> could be a good challenge. If this is tried then how about extending it to find all the routes possible?</w:t>
        <w:br/>
        <w:br/>
        <w:t xml:space="preserve">Before finishing, the most common use of dice in schools apart from games is exploring probability. A simple introduction to this can be found in </w:t>
      </w:r>
      <w:hyperlink r:id="rId10">
        <w:r>
          <w:rPr>
            <w:rStyle w:val="InternetLink"/>
            <w:rFonts w:ascii="Liberation Sans" w:hAnsi="Liberation Sans"/>
          </w:rPr>
          <w:t>A Bit of a Dicey Problem</w:t>
        </w:r>
      </w:hyperlink>
      <w:r>
        <w:rPr>
          <w:rFonts w:ascii="Liberation Sans" w:hAnsi="Liberation Sans"/>
        </w:rPr>
        <w:t xml:space="preserve"> and the game </w:t>
      </w:r>
      <w:hyperlink r:id="rId11">
        <w:r>
          <w:rPr>
            <w:rStyle w:val="InternetLink"/>
            <w:rFonts w:ascii="Liberation Sans" w:hAnsi="Liberation Sans"/>
          </w:rPr>
          <w:t>Tricky Track</w:t>
        </w:r>
      </w:hyperlink>
      <w:r>
        <w:rPr>
          <w:rFonts w:ascii="Liberation Sans" w:hAnsi="Liberation Sans"/>
        </w:rPr>
        <w:t>.</w:t>
        <w:br/>
        <w:br/>
        <w:t>Finally, many of these activities support children in developing their recording skills and gradually becoming more proficient at working systematically, both very worthwhile mathematical skills.</w:t>
        <w:br/>
        <w:br/>
        <w:t>I do hope you and your children explore some of these dice activities - get hold of as many different ones as possible: there are dice within dice, spherical dice and even weighted dice! Some children will benefit from a large foam die that has transparent pockets on each face, for you to insert whatever is appropriate. Whichever you use, enjoy!</w:t>
      </w:r>
    </w:p>
    <w:p>
      <w:pPr>
        <w:pStyle w:val="TextBody"/>
        <w:spacing w:before="0" w:after="0"/>
        <w:rPr>
          <w:rFonts w:ascii="Liberation Sans" w:hAnsi="Liberation Sans"/>
        </w:rPr>
      </w:pPr>
      <w:r>
        <w:rPr/>
      </w:r>
    </w:p>
    <w:p>
      <w:pPr>
        <w:pStyle w:val="TextBody"/>
        <w:spacing w:before="0" w:after="0"/>
        <w:rPr/>
      </w:pPr>
      <w:r>
        <w:rPr>
          <w:rFonts w:ascii="Liberation Sans" w:hAnsi="Liberation Sans"/>
        </w:rPr>
        <w:t xml:space="preserve">* You can buy blank dice and dice of different sizes and shapes from </w:t>
      </w:r>
      <w:hyperlink r:id="rId12">
        <w:r>
          <w:rPr>
            <w:rStyle w:val="InternetLink"/>
            <w:rFonts w:ascii="Liberation Sans" w:hAnsi="Liberation Sans"/>
          </w:rPr>
          <w:t>Tarquin</w:t>
        </w:r>
      </w:hyperlink>
    </w:p>
    <w:sectPr>
      <w:headerReference w:type="default" r:id="rId13"/>
      <w:footerReference w:type="default" r:id="rId14"/>
      <w:type w:val="nextPage"/>
      <w:pgSz w:w="11906" w:h="16838"/>
      <w:pgMar w:left="1134" w:right="1134" w:header="1134" w:top="1700" w:footer="517" w:bottom="1825"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Arial">
    <w:charset w:val="01"/>
    <w:family w:val="roman"/>
    <w:pitch w:val="variable"/>
  </w:font>
  <w:font w:name="Liberation Sans">
    <w:altName w:val="Arial"/>
    <w:charset w:val="01"/>
    <w:family w:val="swiss"/>
    <w:pitch w:val="variable"/>
  </w:font>
  <w:font w:name="Tahom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rPr/>
    </w:pPr>
    <w:r>
      <w:rPr>
        <w:sz w:val="18"/>
        <w:szCs w:val="18"/>
      </w:rPr>
      <w:t>nrich.maths.org/</w:t>
    </w:r>
    <w:r>
      <w:rPr>
        <w:sz w:val="18"/>
        <w:szCs w:val="18"/>
      </w:rPr>
      <w:t>8390</w:t>
    </w:r>
  </w:p>
  <w:p>
    <w:pPr>
      <w:pStyle w:val="HeaderFooter"/>
      <w:rPr/>
    </w:pPr>
    <w:r>
      <w:rPr>
        <w:sz w:val="18"/>
        <w:szCs w:val="18"/>
      </w:rPr>
      <w:t xml:space="preserve">Published </w:t>
    </w:r>
    <w:r>
      <w:rPr>
        <w:sz w:val="18"/>
        <w:szCs w:val="18"/>
      </w:rPr>
      <w:t>September 2012</w:t>
    </w:r>
  </w:p>
  <w:p>
    <w:pPr>
      <w:pStyle w:val="HeaderFooter"/>
      <w:jc w:val="center"/>
      <w:rPr/>
    </w:pPr>
    <w:r>
      <w:rPr>
        <w:sz w:val="18"/>
        <w:szCs w:val="18"/>
      </w:rPr>
      <w:t>© University of Cambridge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g">
          <w:drawing>
            <wp:anchor behindDoc="1" distT="0" distB="0" distL="0" distR="0" simplePos="0" locked="0" layoutInCell="1" allowOverlap="1" relativeHeight="4">
              <wp:simplePos x="0" y="0"/>
              <wp:positionH relativeFrom="column">
                <wp:posOffset>-149860</wp:posOffset>
              </wp:positionH>
              <wp:positionV relativeFrom="paragraph">
                <wp:posOffset>-542290</wp:posOffset>
              </wp:positionV>
              <wp:extent cx="6596380" cy="756920"/>
              <wp:effectExtent l="0" t="0" r="0" b="0"/>
              <wp:wrapTopAndBottom/>
              <wp:docPr id="3" name="Shape1"/>
              <a:graphic xmlns:a="http://schemas.openxmlformats.org/drawingml/2006/main">
                <a:graphicData uri="http://schemas.microsoft.com/office/word/2010/wordprocessingGroup">
                  <wpg:wgp>
                    <wpg:cNvGrpSpPr/>
                    <wpg:grpSpPr>
                      <a:xfrm>
                        <a:off x="0" y="0"/>
                        <a:ext cx="6595920" cy="756360"/>
                      </a:xfrm>
                    </wpg:grpSpPr>
                    <pic:pic xmlns:pic="http://schemas.openxmlformats.org/drawingml/2006/picture">
                      <pic:nvPicPr>
                        <pic:cNvPr id="0" name="" descr=""/>
                        <pic:cNvPicPr/>
                      </pic:nvPicPr>
                      <pic:blipFill>
                        <a:blip r:embed="rId1"/>
                        <a:stretch/>
                      </pic:blipFill>
                      <pic:spPr>
                        <a:xfrm>
                          <a:off x="0" y="14040"/>
                          <a:ext cx="509760" cy="689040"/>
                        </a:xfrm>
                        <a:prstGeom prst="rect">
                          <a:avLst/>
                        </a:prstGeom>
                        <a:ln>
                          <a:noFill/>
                        </a:ln>
                      </pic:spPr>
                    </pic:pic>
                    <wps:wsp>
                      <wps:cNvSpPr/>
                      <wps:spPr>
                        <a:xfrm>
                          <a:off x="550080" y="0"/>
                          <a:ext cx="6045840" cy="756360"/>
                        </a:xfrm>
                        <a:prstGeom prst="rect">
                          <a:avLst/>
                        </a:prstGeom>
                        <a:gradFill>
                          <a:gsLst>
                            <a:gs pos="0">
                              <a:srgbClr val="ffffff"/>
                            </a:gs>
                            <a:gs pos="100000">
                              <a:srgbClr val="d61c38"/>
                            </a:gs>
                          </a:gsLst>
                          <a:lin ang="0"/>
                        </a:gradFill>
                        <a:ln w="25560">
                          <a:noFill/>
                        </a:ln>
                      </wps:spPr>
                      <wps:style>
                        <a:lnRef idx="0"/>
                        <a:fillRef idx="0"/>
                        <a:effectRef idx="0"/>
                        <a:fontRef idx="minor"/>
                      </wps:style>
                      <wps:bodyPr/>
                    </wps:wsp>
                  </wpg:wgp>
                </a:graphicData>
              </a:graphic>
            </wp:anchor>
          </w:drawing>
        </mc:Choice>
        <mc:Fallback>
          <w:pict>
            <v:group id="shape_0" alt="Shape1" style="position:absolute;margin-left:-11.8pt;margin-top:-42.7pt;width:519.35pt;height:59.55pt" coordorigin="-236,-854" coordsize="10387,1191">
              <v:rect id="shape_0" stroked="f" style="position:absolute;left:-236;top:-832;width:802;height:1084">
                <v:imagedata r:id="rId1" o:detectmouseclick="t"/>
                <w10:wrap type="none"/>
                <v:stroke color="#3465a4" joinstyle="round" endcap="flat"/>
              </v:rect>
              <v:rect id="shape_0" fillcolor="white" stroked="f" style="position:absolute;left:630;top:-854;width:9520;height:1190">
                <w10:wrap type="none"/>
                <v:fill o:detectmouseclick="t" color2="#d61c38"/>
                <v:stroke color="#3465a4" weight="25560" joinstyle="round" endcap="flat"/>
              </v:rect>
            </v:group>
          </w:pict>
        </mc:Fallback>
      </mc:AlternateContent>
      <mc:AlternateContent>
        <mc:Choice Requires="wps">
          <w:drawing>
            <wp:anchor behindDoc="1" distT="0" distB="0" distL="0" distR="0" simplePos="0" locked="0" layoutInCell="1" allowOverlap="1" relativeHeight="7">
              <wp:simplePos x="0" y="0"/>
              <wp:positionH relativeFrom="column">
                <wp:posOffset>2640330</wp:posOffset>
              </wp:positionH>
              <wp:positionV relativeFrom="paragraph">
                <wp:posOffset>-440690</wp:posOffset>
              </wp:positionV>
              <wp:extent cx="3641725" cy="572770"/>
              <wp:effectExtent l="0" t="0" r="0" b="0"/>
              <wp:wrapNone/>
              <wp:docPr id="4" name="Shape2"/>
              <a:graphic xmlns:a="http://schemas.openxmlformats.org/drawingml/2006/main">
                <a:graphicData uri="http://schemas.microsoft.com/office/word/2010/wordprocessingShape">
                  <wps:wsp>
                    <wps:cNvSpPr/>
                    <wps:spPr>
                      <a:xfrm>
                        <a:off x="0" y="0"/>
                        <a:ext cx="3641040" cy="572040"/>
                      </a:xfrm>
                      <a:prstGeom prst="rect">
                        <a:avLst/>
                      </a:prstGeom>
                      <a:noFill/>
                      <a:ln>
                        <a:noFill/>
                      </a:ln>
                    </wps:spPr>
                    <wps:style>
                      <a:lnRef idx="0"/>
                      <a:fillRef idx="0"/>
                      <a:effectRef idx="0"/>
                      <a:fontRef idx="minor"/>
                    </wps:style>
                    <wps:txbx>
                      <w:txbxContent>
                        <w:p>
                          <w:pPr>
                            <w:pStyle w:val="Heading1"/>
                            <w:overflowPunct w:val="false"/>
                            <w:bidi w:val="0"/>
                            <w:spacing w:before="114" w:after="114"/>
                            <w:jc w:val="right"/>
                            <w:rPr>
                              <w:rFonts w:ascii="Tahoma" w:hAnsi="Tahoma"/>
                              <w:b/>
                              <w:b/>
                              <w:bCs/>
                              <w:color w:val="FFFFFF"/>
                              <w:sz w:val="38"/>
                              <w:szCs w:val="38"/>
                            </w:rPr>
                          </w:pPr>
                          <w:r>
                            <w:rPr>
                              <w:rFonts w:ascii="Tahoma" w:hAnsi="Tahoma"/>
                              <w:b/>
                              <w:bCs/>
                              <w:color w:val="FFFFFF"/>
                              <w:sz w:val="38"/>
                              <w:szCs w:val="38"/>
                            </w:rPr>
                            <w:t>Using Dice Here and There</w:t>
                          </w:r>
                        </w:p>
                        <w:p>
                          <w:pPr>
                            <w:pStyle w:val="FrameContents"/>
                            <w:overflowPunct w:val="false"/>
                            <w:bidi w:val="0"/>
                            <w:jc w:val="right"/>
                            <w:rPr/>
                          </w:pPr>
                          <w:r>
                            <w:rPr>
                              <w:rFonts w:ascii="Tahoma" w:hAnsi="Tahoma"/>
                              <w:b/>
                              <w:bCs/>
                              <w:color w:val="FFFFFF"/>
                              <w:sz w:val="20"/>
                              <w:szCs w:val="20"/>
                            </w:rPr>
                            <w:t>By Bernard Bagnall</w:t>
                          </w:r>
                        </w:p>
                      </w:txbxContent>
                    </wps:txbx>
                    <wps:bodyPr lIns="0" rIns="0" tIns="0" bIns="0">
                      <a:spAutoFit/>
                    </wps:bodyPr>
                  </wps:wsp>
                </a:graphicData>
              </a:graphic>
            </wp:anchor>
          </w:drawing>
        </mc:Choice>
        <mc:Fallback>
          <w:pict>
            <v:rect id="shape_0" ID="Shape2" stroked="f" style="position:absolute;margin-left:207.9pt;margin-top:-34.7pt;width:286.65pt;height:45pt">
              <w10:wrap type="square"/>
              <v:fill o:detectmouseclick="t" on="false"/>
              <v:stroke color="#3465a4" joinstyle="round" endcap="flat"/>
              <v:textbox>
                <w:txbxContent>
                  <w:p>
                    <w:pPr>
                      <w:pStyle w:val="Heading1"/>
                      <w:overflowPunct w:val="false"/>
                      <w:bidi w:val="0"/>
                      <w:spacing w:before="114" w:after="114"/>
                      <w:jc w:val="right"/>
                      <w:rPr>
                        <w:rFonts w:ascii="Tahoma" w:hAnsi="Tahoma"/>
                        <w:b/>
                        <w:b/>
                        <w:bCs/>
                        <w:color w:val="FFFFFF"/>
                        <w:sz w:val="38"/>
                        <w:szCs w:val="38"/>
                      </w:rPr>
                    </w:pPr>
                    <w:r>
                      <w:rPr>
                        <w:rFonts w:ascii="Tahoma" w:hAnsi="Tahoma"/>
                        <w:b/>
                        <w:bCs/>
                        <w:color w:val="FFFFFF"/>
                        <w:sz w:val="38"/>
                        <w:szCs w:val="38"/>
                      </w:rPr>
                      <w:t>Using Dice Here and There</w:t>
                    </w:r>
                  </w:p>
                  <w:p>
                    <w:pPr>
                      <w:pStyle w:val="FrameContents"/>
                      <w:overflowPunct w:val="false"/>
                      <w:bidi w:val="0"/>
                      <w:jc w:val="right"/>
                      <w:rPr/>
                    </w:pPr>
                    <w:r>
                      <w:rPr>
                        <w:rFonts w:ascii="Tahoma" w:hAnsi="Tahoma"/>
                        <w:b/>
                        <w:bCs/>
                        <w:color w:val="FFFFFF"/>
                        <w:sz w:val="20"/>
                        <w:szCs w:val="20"/>
                      </w:rPr>
                      <w:t>By Bernard Bagnall</w:t>
                    </w:r>
                  </w:p>
                </w:txbxContent>
              </v:textbox>
            </v:rect>
          </w:pict>
        </mc:Fallback>
      </mc:AlternateContent>
    </w:r>
  </w:p>
</w:hdr>
</file>

<file path=word/settings.xml><?xml version="1.0" encoding="utf-8"?>
<w:settings xmlns:w="http://schemas.openxmlformats.org/wordprocessingml/2006/main">
  <w:zoom w:percent="117"/>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0"/>
        <w:szCs w:val="24"/>
        <w:lang w:val="en-GB" w:eastAsia="zh-CN" w:bidi="hi-IN"/>
      </w:rPr>
    </w:rPrDefault>
    <w:pPrDefault>
      <w:pPr/>
    </w:pPrDefault>
  </w:docDefaults>
  <w:style w:type="paragraph" w:styleId="Normal">
    <w:name w:val="Normal"/>
    <w:qFormat/>
    <w:pPr>
      <w:widowControl/>
      <w:bidi w:val="0"/>
      <w:jc w:val="left"/>
    </w:pPr>
    <w:rPr>
      <w:rFonts w:ascii="Liberation Serif" w:hAnsi="Liberation Serif" w:eastAsia="Source Han Sans CN Regular" w:cs="Lohit Devanagari"/>
      <w:color w:val="00000A"/>
      <w:kern w:val="2"/>
      <w:sz w:val="24"/>
      <w:szCs w:val="24"/>
      <w:lang w:val="en-GB" w:eastAsia="zh-CN" w:bidi="hi-IN"/>
    </w:rPr>
  </w:style>
  <w:style w:type="paragraph" w:styleId="Heading1">
    <w:name w:val="Heading 1"/>
    <w:basedOn w:val="Heading"/>
    <w:next w:val="TextBody"/>
    <w:qFormat/>
    <w:pPr>
      <w:spacing w:before="240" w:after="120"/>
      <w:outlineLvl w:val="0"/>
    </w:pPr>
    <w:rPr>
      <w:rFonts w:ascii="Liberation Serif" w:hAnsi="Liberation Serif" w:eastAsia="Source Han Sans CN Regular" w:cs="Lohit Devanagari"/>
      <w:b/>
      <w:bCs/>
      <w:sz w:val="48"/>
      <w:szCs w:val="48"/>
    </w:rPr>
  </w:style>
  <w:style w:type="paragraph" w:styleId="Heading4">
    <w:name w:val="Heading 4"/>
    <w:basedOn w:val="Heading"/>
    <w:next w:val="TextBody"/>
    <w:qFormat/>
    <w:pPr>
      <w:spacing w:before="120" w:after="120"/>
      <w:outlineLvl w:val="3"/>
    </w:pPr>
    <w:rPr>
      <w:rFonts w:ascii="Liberation Serif" w:hAnsi="Liberation Serif" w:eastAsia="Source Han Sans CN Regular" w:cs="Lohit Devanagari"/>
      <w:b/>
      <w:bCs/>
      <w:sz w:val="24"/>
      <w:szCs w:val="24"/>
    </w:rPr>
  </w:style>
  <w:style w:type="character" w:styleId="StrongEmphasis">
    <w:name w:val="Strong Emphasis"/>
    <w:qFormat/>
    <w:rPr>
      <w:b/>
      <w:bCs/>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Source Han Sans CN Regular"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
    <w:name w:val="Header"/>
    <w:basedOn w:val="Normal"/>
    <w:pPr>
      <w:suppressLineNumbers/>
      <w:tabs>
        <w:tab w:val="center" w:pos="4819" w:leader="none"/>
        <w:tab w:val="right" w:pos="9638" w:leader="none"/>
      </w:tabs>
    </w:pPr>
    <w:rPr/>
  </w:style>
  <w:style w:type="paragraph" w:styleId="Footer">
    <w:name w:val="Footer"/>
    <w:basedOn w:val="Normal"/>
    <w:pPr>
      <w:suppressLineNumbers/>
      <w:tabs>
        <w:tab w:val="center" w:pos="4819" w:leader="none"/>
        <w:tab w:val="right" w:pos="9638" w:leader="none"/>
      </w:tabs>
    </w:pPr>
    <w:rPr/>
  </w:style>
  <w:style w:type="paragraph" w:styleId="HeaderFooter">
    <w:name w:val="Header &amp; Footer"/>
    <w:qFormat/>
    <w:pPr>
      <w:widowControl/>
      <w:tabs>
        <w:tab w:val="right" w:pos="9632" w:leader="none"/>
      </w:tabs>
      <w:bidi w:val="0"/>
      <w:jc w:val="center"/>
    </w:pPr>
    <w:rPr>
      <w:rFonts w:ascii="Arial" w:hAnsi="Arial" w:eastAsia="Times New Roman" w:cs="Arial"/>
      <w:i/>
      <w:iCs/>
      <w:color w:val="00000A"/>
      <w:kern w:val="0"/>
      <w:sz w:val="22"/>
      <w:szCs w:val="22"/>
      <w:lang w:val="en-US" w:eastAsia="en-US" w:bidi="ar-S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http://nrich.maths.org/7701" TargetMode="External"/><Relationship Id="rId5" Type="http://schemas.openxmlformats.org/officeDocument/2006/relationships/hyperlink" Target="http://nrich.maths.org/53" TargetMode="External"/><Relationship Id="rId6" Type="http://schemas.openxmlformats.org/officeDocument/2006/relationships/hyperlink" Target="http://nrich.maths.org/5897" TargetMode="External"/><Relationship Id="rId7" Type="http://schemas.openxmlformats.org/officeDocument/2006/relationships/hyperlink" Target="http://nrich.maths.org/67" TargetMode="External"/><Relationship Id="rId8" Type="http://schemas.openxmlformats.org/officeDocument/2006/relationships/hyperlink" Target="http://nrich.maths.org/67" TargetMode="External"/><Relationship Id="rId9" Type="http://schemas.openxmlformats.org/officeDocument/2006/relationships/hyperlink" Target="http://nrich.maths.org/1273" TargetMode="External"/><Relationship Id="rId10" Type="http://schemas.openxmlformats.org/officeDocument/2006/relationships/hyperlink" Target="http://nrich.maths.org/1077" TargetMode="External"/><Relationship Id="rId11" Type="http://schemas.openxmlformats.org/officeDocument/2006/relationships/hyperlink" Target="http://nrich.maths.org/2150" TargetMode="External"/><Relationship Id="rId12" Type="http://schemas.openxmlformats.org/officeDocument/2006/relationships/hyperlink" Target="http://www.tarquingroup.com/tabs/equipment.php?main=Equipment&amp;sub=Maths"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3.png"/>
</Relationships>
</file>

<file path=docProps/app.xml><?xml version="1.0" encoding="utf-8"?>
<Properties xmlns="http://schemas.openxmlformats.org/officeDocument/2006/extended-properties" xmlns:vt="http://schemas.openxmlformats.org/officeDocument/2006/docPropsVTypes">
  <Template/>
  <TotalTime>31</TotalTime>
  <Application>LibreOffice/5.4.7.2$Linux_X86_64 LibreOffice_project/40$Build-2</Application>
  <Pages>3</Pages>
  <Words>952</Words>
  <Characters>4319</Characters>
  <CharactersWithSpaces>5269</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2018-06-06T15:40:02Z</dcterms:created>
  <dc:creator/>
  <dc:description/>
  <dc:language>en-GB</dc:language>
  <cp:lastModifiedBy/>
  <dcterms:modified xsi:type="dcterms:W3CDTF">2018-06-18T12:16:15Z</dcterms:modified>
  <cp:revision>17</cp:revision>
  <dc:subject/>
  <dc:title/>
</cp:coreProperties>
</file>