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407D" w14:textId="77777777" w:rsid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Verdana" w:hAnsi="Verdana" w:cs="Tahoma"/>
          <w:sz w:val="24"/>
          <w:szCs w:val="24"/>
        </w:rPr>
      </w:pPr>
    </w:p>
    <w:p w14:paraId="08A0974E" w14:textId="629C8307" w:rsidR="00061E04" w:rsidRDefault="00F91356"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8"/>
          <w:szCs w:val="28"/>
        </w:rPr>
      </w:pPr>
      <w:r w:rsidRPr="00F91356">
        <w:rPr>
          <w:rFonts w:ascii="Verdana" w:hAnsi="Verdana" w:cs="Tahoma"/>
          <w:sz w:val="24"/>
          <w:szCs w:val="24"/>
        </w:rPr>
        <w:t>Rearrange the cards to explain how to find what fraction of the total area is shaded.</w:t>
      </w:r>
    </w:p>
    <w:tbl>
      <w:tblPr>
        <w:tblStyle w:val="TableGrid"/>
        <w:tblpPr w:leftFromText="180" w:rightFromText="180" w:vertAnchor="page" w:horzAnchor="margin" w:tblpY="2671"/>
        <w:tblW w:w="0" w:type="auto"/>
        <w:tblLayout w:type="fixed"/>
        <w:tblLook w:val="01E0" w:firstRow="1" w:lastRow="1" w:firstColumn="1" w:lastColumn="1" w:noHBand="0" w:noVBand="0"/>
      </w:tblPr>
      <w:tblGrid>
        <w:gridCol w:w="7621"/>
        <w:gridCol w:w="425"/>
      </w:tblGrid>
      <w:tr w:rsidR="00B87920" w:rsidRPr="00B87920" w14:paraId="167D40CD" w14:textId="77777777" w:rsidTr="00EE740C">
        <w:trPr>
          <w:trHeight w:val="841"/>
        </w:trPr>
        <w:tc>
          <w:tcPr>
            <w:tcW w:w="7621" w:type="dxa"/>
            <w:vAlign w:val="center"/>
          </w:tcPr>
          <w:p w14:paraId="13D94123" w14:textId="21591709" w:rsidR="00B87920" w:rsidRPr="003365B3" w:rsidRDefault="00C1089A"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rPr>
                <w:rFonts w:hint="eastAsia"/>
                <w:sz w:val="24"/>
                <w:szCs w:val="24"/>
                <w:lang w:val="en-GB" w:eastAsia="en-GB"/>
              </w:rPr>
            </w:pPr>
            <w:r w:rsidRPr="003365B3">
              <w:rPr>
                <w:sz w:val="24"/>
                <w:szCs w:val="24"/>
                <w:lang w:val="en-GB" w:eastAsia="en-GB"/>
              </w:rPr>
              <w:t xml:space="preserve"> The area of </w:t>
            </w:r>
            <m:oMath>
              <m:r>
                <w:rPr>
                  <w:rFonts w:ascii="Cambria Math" w:hAnsi="Cambria Math"/>
                  <w:sz w:val="24"/>
                  <w:szCs w:val="24"/>
                  <w:lang w:val="en-GB" w:eastAsia="en-GB"/>
                </w:rPr>
                <m:t>∆DMC=2</m:t>
              </m:r>
            </m:oMath>
            <w:r w:rsidRPr="003365B3">
              <w:rPr>
                <w:sz w:val="24"/>
                <w:szCs w:val="24"/>
                <w:lang w:val="en-GB" w:eastAsia="en-GB"/>
              </w:rPr>
              <w:t xml:space="preserve"> sq units.</w:t>
            </w:r>
            <w:r w:rsidR="003476CC" w:rsidRPr="003365B3">
              <w:rPr>
                <w:sz w:val="24"/>
                <w:szCs w:val="24"/>
                <w:lang w:val="en-GB" w:eastAsia="en-GB"/>
              </w:rPr>
              <w:br/>
            </w:r>
            <w:r w:rsidRPr="003365B3">
              <w:rPr>
                <w:sz w:val="24"/>
                <w:szCs w:val="24"/>
                <w:lang w:val="en-GB" w:eastAsia="en-GB"/>
              </w:rPr>
              <w:t xml:space="preserve"> The area of </w:t>
            </w:r>
            <m:oMath>
              <m:r>
                <w:rPr>
                  <w:rFonts w:ascii="Cambria Math" w:hAnsi="Cambria Math"/>
                  <w:sz w:val="24"/>
                  <w:szCs w:val="24"/>
                  <w:lang w:val="en-GB" w:eastAsia="en-GB"/>
                </w:rPr>
                <m:t>∆DFC=1</m:t>
              </m:r>
            </m:oMath>
            <w:r w:rsidRPr="003365B3">
              <w:rPr>
                <w:sz w:val="24"/>
                <w:szCs w:val="24"/>
                <w:lang w:val="en-GB" w:eastAsia="en-GB"/>
              </w:rPr>
              <w:t xml:space="preserve"> sq unit.</w:t>
            </w:r>
          </w:p>
        </w:tc>
        <w:tc>
          <w:tcPr>
            <w:tcW w:w="425" w:type="dxa"/>
            <w:vAlign w:val="center"/>
          </w:tcPr>
          <w:p w14:paraId="10A49F3A"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3365B3">
              <w:rPr>
                <w:rFonts w:ascii="Tahoma" w:hAnsi="Tahoma" w:cs="Tahoma"/>
                <w:sz w:val="24"/>
                <w:szCs w:val="24"/>
                <w:lang w:val="en-GB" w:eastAsia="en-GB"/>
              </w:rPr>
              <w:t>A</w:t>
            </w:r>
          </w:p>
        </w:tc>
      </w:tr>
      <w:tr w:rsidR="00B87920" w:rsidRPr="00B87920" w14:paraId="0D5DF5AC" w14:textId="77777777" w:rsidTr="000E7EDE">
        <w:trPr>
          <w:trHeight w:val="58"/>
        </w:trPr>
        <w:tc>
          <w:tcPr>
            <w:tcW w:w="7621" w:type="dxa"/>
            <w:vAlign w:val="center"/>
          </w:tcPr>
          <w:p w14:paraId="5E2BABF2" w14:textId="700F6CDA" w:rsidR="00B87920" w:rsidRPr="003365B3" w:rsidRDefault="000E7EDE"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rPr>
                <w:rFonts w:hint="eastAsia"/>
                <w:sz w:val="24"/>
                <w:szCs w:val="24"/>
                <w:lang w:val="en-GB" w:eastAsia="en-GB"/>
              </w:rPr>
            </w:pPr>
            <m:oMath>
              <m:r>
                <w:rPr>
                  <w:rFonts w:ascii="Cambria Math" w:hAnsi="Cambria Math"/>
                  <w:sz w:val="24"/>
                  <w:szCs w:val="24"/>
                  <w:lang w:val="en-GB" w:eastAsia="en-GB"/>
                </w:rPr>
                <m:t>∆EHF</m:t>
              </m:r>
            </m:oMath>
            <w:r w:rsidRPr="003365B3">
              <w:rPr>
                <w:sz w:val="24"/>
                <w:szCs w:val="24"/>
                <w:lang w:val="en-GB" w:eastAsia="en-GB"/>
              </w:rPr>
              <w:t xml:space="preserve"> is right-angled so we have </w:t>
            </w:r>
            <m:oMath>
              <m:sSup>
                <m:sSupPr>
                  <m:ctrlPr>
                    <w:rPr>
                      <w:rFonts w:ascii="Cambria Math" w:hAnsi="Cambria Math"/>
                      <w:i/>
                      <w:sz w:val="24"/>
                      <w:szCs w:val="24"/>
                      <w:lang w:val="en-GB" w:eastAsia="en-GB"/>
                    </w:rPr>
                  </m:ctrlPr>
                </m:sSupPr>
                <m:e>
                  <m:r>
                    <w:rPr>
                      <w:rFonts w:ascii="Cambria Math" w:hAnsi="Cambria Math"/>
                      <w:sz w:val="24"/>
                      <w:szCs w:val="24"/>
                      <w:lang w:val="en-GB" w:eastAsia="en-GB"/>
                    </w:rPr>
                    <m:t>(EH)</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(HF)</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(EF)</m:t>
                  </m:r>
                </m:e>
                <m:sup>
                  <m:r>
                    <w:rPr>
                      <w:rFonts w:ascii="Cambria Math" w:hAnsi="Cambria Math"/>
                      <w:sz w:val="24"/>
                      <w:szCs w:val="24"/>
                      <w:lang w:val="en-GB" w:eastAsia="en-GB"/>
                    </w:rPr>
                    <m:t>2</m:t>
                  </m:r>
                </m:sup>
              </m:sSup>
            </m:oMath>
          </w:p>
        </w:tc>
        <w:tc>
          <w:tcPr>
            <w:tcW w:w="425" w:type="dxa"/>
            <w:vAlign w:val="center"/>
          </w:tcPr>
          <w:p w14:paraId="4C705AF3" w14:textId="75A48A4B"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3365B3">
              <w:rPr>
                <w:rFonts w:ascii="Tahoma" w:hAnsi="Tahoma" w:cs="Tahoma"/>
                <w:sz w:val="24"/>
                <w:szCs w:val="24"/>
                <w:lang w:val="en-GB" w:eastAsia="en-GB"/>
              </w:rPr>
              <w:t>B</w:t>
            </w:r>
          </w:p>
        </w:tc>
      </w:tr>
      <w:tr w:rsidR="00B87920" w:rsidRPr="00B87920" w14:paraId="303A98F9" w14:textId="77777777" w:rsidTr="00B87920">
        <w:trPr>
          <w:trHeight w:val="1021"/>
        </w:trPr>
        <w:tc>
          <w:tcPr>
            <w:tcW w:w="7621" w:type="dxa"/>
            <w:vAlign w:val="center"/>
          </w:tcPr>
          <w:p w14:paraId="68A66F58" w14:textId="4C16322F" w:rsidR="00B87920" w:rsidRPr="003365B3" w:rsidRDefault="002048AC"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rPr>
                <w:rFonts w:hint="eastAsia"/>
                <w:sz w:val="24"/>
                <w:szCs w:val="24"/>
                <w:lang w:val="en-GB" w:eastAsia="en-GB"/>
              </w:rPr>
            </w:pPr>
            <w:r w:rsidRPr="003365B3">
              <w:rPr>
                <w:sz w:val="24"/>
                <w:szCs w:val="24"/>
                <w:lang w:val="en-GB" w:eastAsia="en-GB"/>
              </w:rPr>
              <w:t xml:space="preserve">The areas of </w:t>
            </w:r>
            <m:oMath>
              <m:r>
                <w:rPr>
                  <w:rFonts w:ascii="Cambria Math" w:hAnsi="Cambria Math"/>
                  <w:sz w:val="24"/>
                  <w:szCs w:val="24"/>
                  <w:lang w:val="en-GB" w:eastAsia="en-GB"/>
                </w:rPr>
                <m:t>∆DFE,  ∆CFG</m:t>
              </m:r>
            </m:oMath>
            <w:r w:rsidRPr="003365B3">
              <w:rPr>
                <w:sz w:val="24"/>
                <w:szCs w:val="24"/>
                <w:lang w:val="en-GB" w:eastAsia="en-GB"/>
              </w:rPr>
              <w:t xml:space="preserve"> and the shaded area </w:t>
            </w:r>
            <m:oMath>
              <m:r>
                <w:rPr>
                  <w:rFonts w:ascii="Cambria Math" w:hAnsi="Cambria Math"/>
                  <w:sz w:val="24"/>
                  <w:szCs w:val="24"/>
                  <w:lang w:val="en-GB" w:eastAsia="en-GB"/>
                </w:rPr>
                <m:t>MEFG</m:t>
              </m:r>
            </m:oMath>
            <w:r w:rsidRPr="003365B3">
              <w:rPr>
                <w:sz w:val="24"/>
                <w:szCs w:val="24"/>
                <w:lang w:val="en-GB" w:eastAsia="en-GB"/>
              </w:rPr>
              <w:t xml:space="preserve"> are equal, </w:t>
            </w:r>
            <w:r w:rsidR="003B61D0" w:rsidRPr="003365B3">
              <w:rPr>
                <w:sz w:val="24"/>
                <w:szCs w:val="24"/>
                <w:lang w:val="en-GB" w:eastAsia="en-GB"/>
              </w:rPr>
              <w:t xml:space="preserve">and the total area of them is </w:t>
            </w:r>
            <m:oMath>
              <m:r>
                <w:rPr>
                  <w:rFonts w:ascii="Cambria Math" w:hAnsi="Cambria Math"/>
                  <w:sz w:val="24"/>
                  <w:szCs w:val="24"/>
                  <w:lang w:val="en-GB" w:eastAsia="en-GB"/>
                </w:rPr>
                <m:t>1</m:t>
              </m:r>
            </m:oMath>
            <w:r w:rsidR="003B61D0" w:rsidRPr="003365B3">
              <w:rPr>
                <w:sz w:val="24"/>
                <w:szCs w:val="24"/>
                <w:lang w:val="en-GB" w:eastAsia="en-GB"/>
              </w:rPr>
              <w:t>, so each must have</w:t>
            </w:r>
            <w:r w:rsidR="00F7240A">
              <w:rPr>
                <w:sz w:val="24"/>
                <w:szCs w:val="24"/>
                <w:lang w:val="en-GB" w:eastAsia="en-GB"/>
              </w:rPr>
              <w:t xml:space="preserve"> an</w:t>
            </w:r>
            <w:r w:rsidR="003B61D0" w:rsidRPr="003365B3">
              <w:rPr>
                <w:sz w:val="24"/>
                <w:szCs w:val="24"/>
                <w:lang w:val="en-GB" w:eastAsia="en-GB"/>
              </w:rPr>
              <w:t xml:space="preserve"> area </w:t>
            </w:r>
            <w:r w:rsidR="0080033D">
              <w:rPr>
                <w:sz w:val="24"/>
                <w:szCs w:val="24"/>
                <w:lang w:val="en-GB" w:eastAsia="en-GB"/>
              </w:rPr>
              <w:br/>
            </w:r>
            <w:r w:rsidR="003B61D0" w:rsidRPr="003365B3">
              <w:rPr>
                <w:sz w:val="24"/>
                <w:szCs w:val="24"/>
                <w:lang w:val="en-GB" w:eastAsia="en-GB"/>
              </w:rPr>
              <w:t xml:space="preserve">of </w:t>
            </w:r>
            <m:oMath>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3</m:t>
                  </m:r>
                </m:den>
              </m:f>
            </m:oMath>
            <w:r w:rsidRPr="003365B3">
              <w:rPr>
                <w:sz w:val="24"/>
                <w:szCs w:val="24"/>
                <w:lang w:val="en-GB" w:eastAsia="en-GB"/>
              </w:rPr>
              <w:t xml:space="preserve"> </w:t>
            </w:r>
            <w:r w:rsidR="003B61D0" w:rsidRPr="003365B3">
              <w:rPr>
                <w:sz w:val="24"/>
                <w:szCs w:val="24"/>
                <w:lang w:val="en-GB" w:eastAsia="en-GB"/>
              </w:rPr>
              <w:t>sq units.</w:t>
            </w:r>
          </w:p>
        </w:tc>
        <w:tc>
          <w:tcPr>
            <w:tcW w:w="425" w:type="dxa"/>
            <w:vAlign w:val="center"/>
          </w:tcPr>
          <w:p w14:paraId="540A7515"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3365B3">
              <w:rPr>
                <w:rFonts w:ascii="Tahoma" w:hAnsi="Tahoma" w:cs="Tahoma"/>
                <w:sz w:val="24"/>
                <w:szCs w:val="24"/>
                <w:lang w:val="en-GB" w:eastAsia="en-GB"/>
              </w:rPr>
              <w:t>C</w:t>
            </w:r>
          </w:p>
        </w:tc>
      </w:tr>
      <w:tr w:rsidR="00B87920" w:rsidRPr="00B87920" w14:paraId="3511F040" w14:textId="77777777" w:rsidTr="0080033D">
        <w:trPr>
          <w:trHeight w:val="852"/>
        </w:trPr>
        <w:tc>
          <w:tcPr>
            <w:tcW w:w="7621" w:type="dxa"/>
            <w:vAlign w:val="center"/>
          </w:tcPr>
          <w:p w14:paraId="530B42FA" w14:textId="4F59902C" w:rsidR="00B87920" w:rsidRPr="003365B3" w:rsidRDefault="00712C2E"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r w:rsidRPr="003365B3">
              <w:rPr>
                <w:sz w:val="24"/>
                <w:szCs w:val="24"/>
                <w:lang w:val="en-GB" w:eastAsia="en-GB"/>
              </w:rPr>
              <w:t xml:space="preserve">Area of </w:t>
            </w:r>
            <m:oMath>
              <m:r>
                <w:rPr>
                  <w:rFonts w:ascii="Cambria Math" w:hAnsi="Cambria Math"/>
                  <w:sz w:val="24"/>
                  <w:szCs w:val="24"/>
                  <w:lang w:val="en-GB" w:eastAsia="en-GB"/>
                </w:rPr>
                <m:t>∆MEF=</m:t>
              </m:r>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2</m:t>
                  </m:r>
                </m:den>
              </m:f>
              <m:r>
                <w:rPr>
                  <w:rFonts w:ascii="Cambria Math" w:hAnsi="Cambria Math"/>
                  <w:sz w:val="24"/>
                  <w:szCs w:val="24"/>
                  <w:lang w:val="en-GB" w:eastAsia="en-GB"/>
                </w:rPr>
                <m:t>(1×EH)=</m:t>
              </m:r>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2</m:t>
                  </m:r>
                </m:den>
              </m:f>
              <m:d>
                <m:dPr>
                  <m:ctrlPr>
                    <w:rPr>
                      <w:rFonts w:ascii="Cambria Math" w:hAnsi="Cambria Math"/>
                      <w:i/>
                      <w:sz w:val="24"/>
                      <w:szCs w:val="24"/>
                      <w:lang w:val="en-GB" w:eastAsia="en-GB"/>
                    </w:rPr>
                  </m:ctrlPr>
                </m:dPr>
                <m:e>
                  <m:f>
                    <m:fPr>
                      <m:ctrlPr>
                        <w:rPr>
                          <w:rFonts w:ascii="Cambria Math" w:hAnsi="Cambria Math"/>
                          <w:i/>
                          <w:sz w:val="24"/>
                          <w:szCs w:val="24"/>
                          <w:lang w:val="en-GB" w:eastAsia="en-GB"/>
                        </w:rPr>
                      </m:ctrlPr>
                    </m:fPr>
                    <m:num>
                      <m:r>
                        <w:rPr>
                          <w:rFonts w:ascii="Cambria Math" w:hAnsi="Cambria Math"/>
                          <w:sz w:val="24"/>
                          <w:szCs w:val="24"/>
                          <w:lang w:val="en-GB" w:eastAsia="en-GB"/>
                        </w:rPr>
                        <m:t>EF</m:t>
                      </m:r>
                    </m:num>
                    <m:den>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den>
                  </m:f>
                </m:e>
              </m:d>
            </m:oMath>
          </w:p>
        </w:tc>
        <w:tc>
          <w:tcPr>
            <w:tcW w:w="425" w:type="dxa"/>
            <w:vAlign w:val="center"/>
          </w:tcPr>
          <w:p w14:paraId="72154556"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D</w:t>
            </w:r>
          </w:p>
        </w:tc>
      </w:tr>
      <w:tr w:rsidR="00B87920" w:rsidRPr="00B87920" w14:paraId="6E0AF05C" w14:textId="77777777" w:rsidTr="00B87920">
        <w:trPr>
          <w:trHeight w:val="1021"/>
        </w:trPr>
        <w:tc>
          <w:tcPr>
            <w:tcW w:w="7621" w:type="dxa"/>
            <w:vAlign w:val="center"/>
          </w:tcPr>
          <w:p w14:paraId="0C3A9268" w14:textId="50D0C875" w:rsidR="00B87920" w:rsidRPr="003365B3" w:rsidRDefault="00C1089A"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r w:rsidRPr="003365B3">
              <w:rPr>
                <w:sz w:val="24"/>
                <w:szCs w:val="24"/>
                <w:lang w:val="en-GB" w:eastAsia="en-GB"/>
              </w:rPr>
              <w:t xml:space="preserve"> By Pythagoras, </w:t>
            </w:r>
            <m:oMath>
              <m:r>
                <w:rPr>
                  <w:rFonts w:ascii="Cambria Math" w:hAnsi="Cambria Math"/>
                  <w:sz w:val="24"/>
                  <w:szCs w:val="24"/>
                  <w:lang w:val="en-GB" w:eastAsia="en-GB"/>
                </w:rPr>
                <m:t>DF</m:t>
              </m:r>
            </m:oMath>
            <w:r w:rsidRPr="003365B3">
              <w:rPr>
                <w:sz w:val="24"/>
                <w:szCs w:val="24"/>
                <w:lang w:val="en-GB" w:eastAsia="en-GB"/>
              </w:rPr>
              <w:t xml:space="preserve"> has length </w:t>
            </w:r>
            <m:oMath>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oMath>
            <w:r w:rsidRPr="003365B3">
              <w:rPr>
                <w:sz w:val="24"/>
                <w:szCs w:val="24"/>
                <w:lang w:val="en-GB" w:eastAsia="en-GB"/>
              </w:rPr>
              <w:t>.</w:t>
            </w:r>
          </w:p>
        </w:tc>
        <w:tc>
          <w:tcPr>
            <w:tcW w:w="425" w:type="dxa"/>
            <w:vAlign w:val="center"/>
          </w:tcPr>
          <w:p w14:paraId="3E0F5A60"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E</w:t>
            </w:r>
          </w:p>
        </w:tc>
      </w:tr>
      <w:tr w:rsidR="00B87920" w:rsidRPr="00B87920" w14:paraId="497F555E" w14:textId="77777777" w:rsidTr="00B87920">
        <w:trPr>
          <w:trHeight w:val="1021"/>
        </w:trPr>
        <w:tc>
          <w:tcPr>
            <w:tcW w:w="7621" w:type="dxa"/>
            <w:vAlign w:val="center"/>
          </w:tcPr>
          <w:p w14:paraId="763D2F26" w14:textId="14DCE65E" w:rsidR="00B87920" w:rsidRPr="003365B3" w:rsidRDefault="003B61D0"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r w:rsidRPr="003365B3">
              <w:rPr>
                <w:sz w:val="24"/>
                <w:szCs w:val="24"/>
                <w:lang w:val="en-GB" w:eastAsia="en-GB"/>
              </w:rPr>
              <w:t xml:space="preserve">The total area of the square is </w:t>
            </w:r>
            <m:oMath>
              <m:r>
                <w:rPr>
                  <w:rFonts w:ascii="Cambria Math" w:hAnsi="Cambria Math"/>
                  <w:sz w:val="24"/>
                  <w:szCs w:val="24"/>
                  <w:lang w:val="en-GB" w:eastAsia="en-GB"/>
                </w:rPr>
                <m:t>4</m:t>
              </m:r>
            </m:oMath>
            <w:r w:rsidRPr="003365B3">
              <w:rPr>
                <w:sz w:val="24"/>
                <w:szCs w:val="24"/>
                <w:lang w:val="en-GB" w:eastAsia="en-GB"/>
              </w:rPr>
              <w:t xml:space="preserve"> sq units, so the shaded area is</w:t>
            </w:r>
            <w:r w:rsidR="00F7240A">
              <w:rPr>
                <w:sz w:val="24"/>
                <w:szCs w:val="24"/>
                <w:lang w:val="en-GB" w:eastAsia="en-GB"/>
              </w:rPr>
              <w:br/>
            </w:r>
            <w:r w:rsidRPr="003365B3">
              <w:rPr>
                <w:sz w:val="24"/>
                <w:szCs w:val="24"/>
                <w:lang w:val="en-GB" w:eastAsia="en-GB"/>
              </w:rPr>
              <w:t xml:space="preserve"> </w:t>
            </w:r>
            <m:oMath>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12</m:t>
                  </m:r>
                </m:den>
              </m:f>
            </m:oMath>
            <w:r w:rsidRPr="003365B3">
              <w:rPr>
                <w:sz w:val="24"/>
                <w:szCs w:val="24"/>
                <w:lang w:val="en-GB" w:eastAsia="en-GB"/>
              </w:rPr>
              <w:t xml:space="preserve"> </w:t>
            </w:r>
            <w:r w:rsidR="003365B3" w:rsidRPr="003365B3">
              <w:rPr>
                <w:sz w:val="24"/>
                <w:szCs w:val="24"/>
                <w:lang w:val="en-GB" w:eastAsia="en-GB"/>
              </w:rPr>
              <w:t>the area of the whole</w:t>
            </w:r>
            <w:r w:rsidRPr="003365B3">
              <w:rPr>
                <w:sz w:val="24"/>
                <w:szCs w:val="24"/>
                <w:lang w:val="en-GB" w:eastAsia="en-GB"/>
              </w:rPr>
              <w:t xml:space="preserve"> </w:t>
            </w:r>
            <w:r w:rsidR="003365B3" w:rsidRPr="003365B3">
              <w:rPr>
                <w:sz w:val="24"/>
                <w:szCs w:val="24"/>
                <w:lang w:val="en-GB" w:eastAsia="en-GB"/>
              </w:rPr>
              <w:t>square</w:t>
            </w:r>
            <w:r w:rsidRPr="003365B3">
              <w:rPr>
                <w:sz w:val="24"/>
                <w:szCs w:val="24"/>
                <w:lang w:val="en-GB" w:eastAsia="en-GB"/>
              </w:rPr>
              <w:t>.</w:t>
            </w:r>
          </w:p>
        </w:tc>
        <w:tc>
          <w:tcPr>
            <w:tcW w:w="425" w:type="dxa"/>
            <w:vAlign w:val="center"/>
          </w:tcPr>
          <w:p w14:paraId="2446C1A3"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F</w:t>
            </w:r>
          </w:p>
        </w:tc>
      </w:tr>
      <w:tr w:rsidR="00B87920" w:rsidRPr="00B87920" w14:paraId="16FEA44E" w14:textId="77777777" w:rsidTr="00B87920">
        <w:trPr>
          <w:trHeight w:val="1021"/>
        </w:trPr>
        <w:tc>
          <w:tcPr>
            <w:tcW w:w="7621" w:type="dxa"/>
            <w:vAlign w:val="center"/>
          </w:tcPr>
          <w:p w14:paraId="64F1B821" w14:textId="47F75551" w:rsidR="00B87920" w:rsidRPr="003365B3" w:rsidRDefault="00C1089A"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r w:rsidRPr="003365B3">
              <w:rPr>
                <w:sz w:val="24"/>
                <w:szCs w:val="24"/>
                <w:lang w:val="en-GB" w:eastAsia="en-GB"/>
              </w:rPr>
              <w:t xml:space="preserve">Area of </w:t>
            </w:r>
            <m:oMath>
              <m:r>
                <w:rPr>
                  <w:rFonts w:ascii="Cambria Math" w:hAnsi="Cambria Math"/>
                  <w:sz w:val="24"/>
                  <w:szCs w:val="24"/>
                  <w:lang w:val="en-GB" w:eastAsia="en-GB"/>
                </w:rPr>
                <m:t>∆DFE=</m:t>
              </m:r>
              <m:f>
                <m:fPr>
                  <m:ctrlPr>
                    <w:rPr>
                      <w:rFonts w:ascii="Cambria Math" w:hAnsi="Cambria Math"/>
                      <w:i/>
                      <w:sz w:val="24"/>
                      <w:szCs w:val="24"/>
                      <w:lang w:val="en-GB" w:eastAsia="en-GB"/>
                    </w:rPr>
                  </m:ctrlPr>
                </m:fPr>
                <m:num>
                  <m:r>
                    <w:rPr>
                      <w:rFonts w:ascii="Cambria Math" w:hAnsi="Cambria Math"/>
                      <w:sz w:val="24"/>
                      <w:szCs w:val="24"/>
                      <w:lang w:val="en-GB" w:eastAsia="en-GB"/>
                    </w:rPr>
                    <m:t>DF×EF</m:t>
                  </m:r>
                </m:num>
                <m:den>
                  <m:r>
                    <w:rPr>
                      <w:rFonts w:ascii="Cambria Math" w:hAnsi="Cambria Math"/>
                      <w:sz w:val="24"/>
                      <w:szCs w:val="24"/>
                      <w:lang w:val="en-GB" w:eastAsia="en-GB"/>
                    </w:rPr>
                    <m:t>2</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r>
                    <w:rPr>
                      <w:rFonts w:ascii="Cambria Math" w:hAnsi="Cambria Math"/>
                      <w:sz w:val="24"/>
                      <w:szCs w:val="24"/>
                      <w:lang w:val="en-GB" w:eastAsia="en-GB"/>
                    </w:rPr>
                    <m:t>×EF</m:t>
                  </m:r>
                </m:num>
                <m:den>
                  <m:r>
                    <w:rPr>
                      <w:rFonts w:ascii="Cambria Math" w:hAnsi="Cambria Math"/>
                      <w:sz w:val="24"/>
                      <w:szCs w:val="24"/>
                      <w:lang w:val="en-GB" w:eastAsia="en-GB"/>
                    </w:rPr>
                    <m:t>2</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
                    <w:rPr>
                      <w:rFonts w:ascii="Cambria Math" w:hAnsi="Cambria Math"/>
                      <w:sz w:val="24"/>
                      <w:szCs w:val="24"/>
                      <w:lang w:val="en-GB" w:eastAsia="en-GB"/>
                    </w:rPr>
                    <m:t>EF</m:t>
                  </m:r>
                </m:num>
                <m:den>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den>
              </m:f>
            </m:oMath>
            <w:r w:rsidRPr="003365B3">
              <w:rPr>
                <w:sz w:val="24"/>
                <w:szCs w:val="24"/>
                <w:lang w:val="en-GB" w:eastAsia="en-GB"/>
              </w:rPr>
              <w:t xml:space="preserve"> sq units</w:t>
            </w:r>
          </w:p>
        </w:tc>
        <w:tc>
          <w:tcPr>
            <w:tcW w:w="425" w:type="dxa"/>
            <w:vAlign w:val="center"/>
          </w:tcPr>
          <w:p w14:paraId="2831BBCE"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G</w:t>
            </w:r>
          </w:p>
        </w:tc>
      </w:tr>
      <w:tr w:rsidR="00B87920" w:rsidRPr="00B87920" w14:paraId="775290DA" w14:textId="77777777" w:rsidTr="003365B3">
        <w:trPr>
          <w:trHeight w:val="704"/>
        </w:trPr>
        <w:tc>
          <w:tcPr>
            <w:tcW w:w="7621" w:type="dxa"/>
            <w:vAlign w:val="center"/>
          </w:tcPr>
          <w:p w14:paraId="41F20F57" w14:textId="19721143" w:rsidR="00B87920" w:rsidRPr="003365B3" w:rsidRDefault="00C74C4B"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proofErr w:type="gramStart"/>
            <w:r w:rsidRPr="003365B3">
              <w:rPr>
                <w:sz w:val="24"/>
                <w:szCs w:val="24"/>
                <w:lang w:val="en-GB" w:eastAsia="en-GB"/>
              </w:rPr>
              <w:t>So</w:t>
            </w:r>
            <w:proofErr w:type="gramEnd"/>
            <w:r w:rsidRPr="003365B3">
              <w:rPr>
                <w:sz w:val="24"/>
                <w:szCs w:val="24"/>
                <w:lang w:val="en-GB" w:eastAsia="en-GB"/>
              </w:rPr>
              <w:t xml:space="preserve"> the shaded area </w:t>
            </w:r>
            <m:oMath>
              <m:r>
                <w:rPr>
                  <w:rFonts w:ascii="Cambria Math" w:hAnsi="Cambria Math"/>
                  <w:sz w:val="24"/>
                  <w:szCs w:val="24"/>
                  <w:lang w:val="en-GB" w:eastAsia="en-GB"/>
                </w:rPr>
                <m:t>MEFG</m:t>
              </m:r>
            </m:oMath>
            <w:r w:rsidRPr="003365B3">
              <w:rPr>
                <w:sz w:val="24"/>
                <w:szCs w:val="24"/>
                <w:lang w:val="en-GB" w:eastAsia="en-GB"/>
              </w:rPr>
              <w:t xml:space="preserve"> is equal to the area of </w:t>
            </w:r>
            <m:oMath>
              <m:r>
                <w:rPr>
                  <w:rFonts w:ascii="Cambria Math" w:hAnsi="Cambria Math"/>
                  <w:sz w:val="24"/>
                  <w:szCs w:val="24"/>
                  <w:lang w:val="en-GB" w:eastAsia="en-GB"/>
                </w:rPr>
                <m:t>∆DFE</m:t>
              </m:r>
            </m:oMath>
          </w:p>
        </w:tc>
        <w:tc>
          <w:tcPr>
            <w:tcW w:w="425" w:type="dxa"/>
            <w:vAlign w:val="center"/>
          </w:tcPr>
          <w:p w14:paraId="7E434F9F" w14:textId="77777777" w:rsidR="00B87920" w:rsidRPr="003365B3" w:rsidRDefault="00B87920" w:rsidP="003365B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H</w:t>
            </w:r>
          </w:p>
        </w:tc>
      </w:tr>
      <w:tr w:rsidR="00B87920" w:rsidRPr="00B87920" w14:paraId="17727AF4" w14:textId="77777777" w:rsidTr="00B87920">
        <w:trPr>
          <w:trHeight w:val="1021"/>
        </w:trPr>
        <w:tc>
          <w:tcPr>
            <w:tcW w:w="7621" w:type="dxa"/>
            <w:vAlign w:val="center"/>
          </w:tcPr>
          <w:p w14:paraId="358BF268" w14:textId="1E398883" w:rsidR="00B87920" w:rsidRPr="003365B3" w:rsidRDefault="003476CC"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color w:val="auto"/>
                <w:sz w:val="24"/>
                <w:szCs w:val="24"/>
                <w:lang w:val="en-GB" w:eastAsia="en-GB"/>
              </w:rPr>
            </w:pPr>
            <w:r w:rsidRPr="003365B3">
              <w:rPr>
                <w:sz w:val="24"/>
                <w:szCs w:val="24"/>
              </w:rPr>
              <w:t xml:space="preserve">Assume that the sides of the square are each </w:t>
            </w:r>
            <m:oMath>
              <m:r>
                <w:rPr>
                  <w:rFonts w:ascii="Cambria Math" w:hAnsi="Cambria Math"/>
                  <w:sz w:val="24"/>
                  <w:szCs w:val="24"/>
                </w:rPr>
                <m:t>2</m:t>
              </m:r>
            </m:oMath>
            <w:r w:rsidRPr="003365B3">
              <w:rPr>
                <w:sz w:val="24"/>
                <w:szCs w:val="24"/>
              </w:rPr>
              <w:t xml:space="preserve"> units long.</w:t>
            </w:r>
            <w:r w:rsidRPr="003365B3">
              <w:rPr>
                <w:sz w:val="24"/>
                <w:szCs w:val="24"/>
              </w:rPr>
              <w:br/>
              <w:t xml:space="preserve">Thus, </w:t>
            </w:r>
            <m:oMath>
              <m:r>
                <w:rPr>
                  <w:rFonts w:ascii="Cambria Math" w:hAnsi="Cambria Math"/>
                  <w:sz w:val="24"/>
                  <w:szCs w:val="24"/>
                </w:rPr>
                <m:t>DJ</m:t>
              </m:r>
            </m:oMath>
            <w:r w:rsidRPr="003365B3">
              <w:rPr>
                <w:sz w:val="24"/>
                <w:szCs w:val="24"/>
              </w:rPr>
              <w:t xml:space="preserve"> and </w:t>
            </w:r>
            <m:oMath>
              <m:r>
                <w:rPr>
                  <w:rFonts w:ascii="Cambria Math" w:hAnsi="Cambria Math"/>
                  <w:sz w:val="24"/>
                  <w:szCs w:val="24"/>
                </w:rPr>
                <m:t>FJ</m:t>
              </m:r>
            </m:oMath>
            <w:r w:rsidRPr="003365B3">
              <w:rPr>
                <w:sz w:val="24"/>
                <w:szCs w:val="24"/>
              </w:rPr>
              <w:t xml:space="preserve"> are each </w:t>
            </w:r>
            <m:oMath>
              <m:r>
                <w:rPr>
                  <w:rFonts w:ascii="Cambria Math" w:hAnsi="Cambria Math"/>
                  <w:sz w:val="24"/>
                  <w:szCs w:val="24"/>
                </w:rPr>
                <m:t>1</m:t>
              </m:r>
            </m:oMath>
            <w:r w:rsidRPr="003365B3">
              <w:rPr>
                <w:sz w:val="24"/>
                <w:szCs w:val="24"/>
              </w:rPr>
              <w:t xml:space="preserve"> unit long.</w:t>
            </w:r>
          </w:p>
        </w:tc>
        <w:tc>
          <w:tcPr>
            <w:tcW w:w="425" w:type="dxa"/>
            <w:vAlign w:val="center"/>
          </w:tcPr>
          <w:p w14:paraId="54DF5952" w14:textId="77777777" w:rsidR="00B87920" w:rsidRPr="003365B3"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I</w:t>
            </w:r>
          </w:p>
        </w:tc>
      </w:tr>
      <w:tr w:rsidR="00A16786" w:rsidRPr="00B87920" w14:paraId="4ED94DB8" w14:textId="77777777" w:rsidTr="00EE740C">
        <w:trPr>
          <w:trHeight w:val="1321"/>
        </w:trPr>
        <w:tc>
          <w:tcPr>
            <w:tcW w:w="7621" w:type="dxa"/>
            <w:vAlign w:val="center"/>
          </w:tcPr>
          <w:p w14:paraId="1BD8C8AC" w14:textId="78339FFC" w:rsidR="00A16786" w:rsidRPr="003365B3" w:rsidRDefault="00F7240A"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hint="eastAsia"/>
                <w:noProof/>
                <w:sz w:val="24"/>
                <w:szCs w:val="24"/>
                <w:lang w:val="en-GB" w:eastAsia="en-GB"/>
              </w:rPr>
            </w:pPr>
            <w:r>
              <w:rPr>
                <w:sz w:val="24"/>
                <w:szCs w:val="24"/>
                <w:lang w:val="en-GB" w:eastAsia="en-GB"/>
              </w:rPr>
              <w:t>T</w:t>
            </w:r>
            <w:r w:rsidRPr="003365B3">
              <w:rPr>
                <w:sz w:val="24"/>
                <w:szCs w:val="24"/>
                <w:lang w:val="en-GB" w:eastAsia="en-GB"/>
              </w:rPr>
              <w:t>he area of</w:t>
            </w:r>
            <w:r>
              <w:rPr>
                <w:sz w:val="24"/>
                <w:szCs w:val="24"/>
                <w:lang w:val="en-GB" w:eastAsia="en-GB"/>
              </w:rPr>
              <w:t xml:space="preserve"> the arrowhead</w:t>
            </w:r>
            <w:r w:rsidRPr="003365B3">
              <w:rPr>
                <w:sz w:val="24"/>
                <w:szCs w:val="24"/>
                <w:lang w:val="en-GB" w:eastAsia="en-GB"/>
              </w:rPr>
              <w:t xml:space="preserve"> </w:t>
            </w:r>
            <m:oMath>
              <m:r>
                <w:rPr>
                  <w:rFonts w:ascii="Cambria Math" w:hAnsi="Cambria Math"/>
                  <w:sz w:val="24"/>
                  <w:szCs w:val="24"/>
                  <w:lang w:val="en-GB" w:eastAsia="en-GB"/>
                </w:rPr>
                <m:t>MDFC</m:t>
              </m:r>
            </m:oMath>
            <w:r w:rsidRPr="003365B3">
              <w:rPr>
                <w:sz w:val="24"/>
                <w:szCs w:val="24"/>
                <w:lang w:val="en-GB" w:eastAsia="en-GB"/>
              </w:rPr>
              <w:t xml:space="preserve"> is </w:t>
            </w:r>
            <w:r>
              <w:rPr>
                <w:sz w:val="24"/>
                <w:szCs w:val="24"/>
                <w:lang w:val="en-GB" w:eastAsia="en-GB"/>
              </w:rPr>
              <w:t>equal to t</w:t>
            </w:r>
            <w:r w:rsidR="00C1089A" w:rsidRPr="003365B3">
              <w:rPr>
                <w:noProof/>
                <w:sz w:val="24"/>
                <w:szCs w:val="24"/>
              </w:rPr>
              <w:t>he difference between the areas of</w:t>
            </w:r>
            <w:r w:rsidR="00C1089A" w:rsidRPr="003365B3">
              <w:rPr>
                <w:sz w:val="24"/>
                <w:szCs w:val="24"/>
                <w:lang w:val="en-GB" w:eastAsia="en-GB"/>
              </w:rPr>
              <w:t xml:space="preserve"> </w:t>
            </w:r>
            <m:oMath>
              <m:r>
                <w:rPr>
                  <w:rFonts w:ascii="Cambria Math" w:hAnsi="Cambria Math"/>
                  <w:sz w:val="24"/>
                  <w:szCs w:val="24"/>
                  <w:lang w:val="en-GB" w:eastAsia="en-GB"/>
                </w:rPr>
                <m:t>∆DMC</m:t>
              </m:r>
            </m:oMath>
            <w:r w:rsidR="00C1089A" w:rsidRPr="003365B3">
              <w:rPr>
                <w:sz w:val="24"/>
                <w:szCs w:val="24"/>
                <w:lang w:val="en-GB" w:eastAsia="en-GB"/>
              </w:rPr>
              <w:t xml:space="preserve"> and </w:t>
            </w:r>
            <m:oMath>
              <m:r>
                <w:rPr>
                  <w:rFonts w:ascii="Cambria Math" w:hAnsi="Cambria Math"/>
                  <w:sz w:val="24"/>
                  <w:szCs w:val="24"/>
                  <w:lang w:val="en-GB" w:eastAsia="en-GB"/>
                </w:rPr>
                <m:t>∆DFC</m:t>
              </m:r>
            </m:oMath>
            <w:r>
              <w:rPr>
                <w:sz w:val="24"/>
                <w:szCs w:val="24"/>
                <w:lang w:val="en-GB" w:eastAsia="en-GB"/>
              </w:rPr>
              <w:t xml:space="preserve">; </w:t>
            </w:r>
            <w:proofErr w:type="gramStart"/>
            <w:r>
              <w:rPr>
                <w:sz w:val="24"/>
                <w:szCs w:val="24"/>
                <w:lang w:val="en-GB" w:eastAsia="en-GB"/>
              </w:rPr>
              <w:t>t</w:t>
            </w:r>
            <w:r w:rsidR="00C1089A" w:rsidRPr="003365B3">
              <w:rPr>
                <w:sz w:val="24"/>
                <w:szCs w:val="24"/>
                <w:lang w:val="en-GB" w:eastAsia="en-GB"/>
              </w:rPr>
              <w:t>herefore</w:t>
            </w:r>
            <w:proofErr w:type="gramEnd"/>
            <w:r>
              <w:rPr>
                <w:sz w:val="24"/>
                <w:szCs w:val="24"/>
                <w:lang w:val="en-GB" w:eastAsia="en-GB"/>
              </w:rPr>
              <w:t xml:space="preserve"> this area is</w:t>
            </w:r>
            <w:r>
              <w:rPr>
                <w:sz w:val="24"/>
                <w:szCs w:val="24"/>
                <w:lang w:val="en-GB" w:eastAsia="en-GB"/>
              </w:rPr>
              <w:br/>
            </w:r>
            <w:r w:rsidR="00C1089A" w:rsidRPr="003365B3">
              <w:rPr>
                <w:sz w:val="24"/>
                <w:szCs w:val="24"/>
                <w:lang w:val="en-GB" w:eastAsia="en-GB"/>
              </w:rPr>
              <w:t xml:space="preserve"> </w:t>
            </w:r>
            <m:oMath>
              <m:r>
                <w:rPr>
                  <w:rFonts w:ascii="Cambria Math" w:hAnsi="Cambria Math"/>
                  <w:sz w:val="24"/>
                  <w:szCs w:val="24"/>
                  <w:lang w:val="en-GB" w:eastAsia="en-GB"/>
                </w:rPr>
                <m:t>1</m:t>
              </m:r>
            </m:oMath>
            <w:r w:rsidR="00C1089A" w:rsidRPr="003365B3">
              <w:rPr>
                <w:sz w:val="24"/>
                <w:szCs w:val="24"/>
                <w:lang w:val="en-GB" w:eastAsia="en-GB"/>
              </w:rPr>
              <w:t xml:space="preserve"> sq unit.</w:t>
            </w:r>
          </w:p>
        </w:tc>
        <w:tc>
          <w:tcPr>
            <w:tcW w:w="425" w:type="dxa"/>
            <w:vAlign w:val="center"/>
          </w:tcPr>
          <w:p w14:paraId="669720FC" w14:textId="3239B36E" w:rsidR="00A16786" w:rsidRPr="003365B3" w:rsidRDefault="00A16786"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J</w:t>
            </w:r>
          </w:p>
        </w:tc>
      </w:tr>
      <w:tr w:rsidR="00EE740C" w:rsidRPr="00B87920" w14:paraId="799A1F92" w14:textId="77777777" w:rsidTr="003365B3">
        <w:trPr>
          <w:trHeight w:val="569"/>
        </w:trPr>
        <w:tc>
          <w:tcPr>
            <w:tcW w:w="7621" w:type="dxa"/>
            <w:vAlign w:val="center"/>
          </w:tcPr>
          <w:p w14:paraId="7A317675" w14:textId="1A2FF00F" w:rsidR="00EE740C" w:rsidRPr="003365B3" w:rsidRDefault="000E7EDE"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hint="eastAsia"/>
                <w:noProof/>
                <w:sz w:val="24"/>
                <w:szCs w:val="24"/>
              </w:rPr>
            </w:pPr>
            <w:r w:rsidRPr="003365B3">
              <w:rPr>
                <w:sz w:val="24"/>
                <w:szCs w:val="24"/>
                <w:lang w:val="en-GB" w:eastAsia="en-GB"/>
              </w:rPr>
              <w:t xml:space="preserve">By symmetry, area of </w:t>
            </w:r>
            <m:oMath>
              <m:r>
                <w:rPr>
                  <w:rFonts w:ascii="Cambria Math" w:hAnsi="Cambria Math"/>
                  <w:sz w:val="24"/>
                  <w:szCs w:val="24"/>
                  <w:lang w:val="en-GB" w:eastAsia="en-GB"/>
                </w:rPr>
                <m:t>∆CFG</m:t>
              </m:r>
            </m:oMath>
            <w:r w:rsidRPr="003365B3">
              <w:rPr>
                <w:sz w:val="24"/>
                <w:szCs w:val="24"/>
                <w:lang w:val="en-GB" w:eastAsia="en-GB"/>
              </w:rPr>
              <w:t xml:space="preserve"> is the same as the area of </w:t>
            </w:r>
            <m:oMath>
              <m:r>
                <w:rPr>
                  <w:rFonts w:ascii="Cambria Math" w:hAnsi="Cambria Math"/>
                  <w:sz w:val="24"/>
                  <w:szCs w:val="24"/>
                  <w:lang w:val="en-GB" w:eastAsia="en-GB"/>
                </w:rPr>
                <m:t>∆DFE</m:t>
              </m:r>
            </m:oMath>
          </w:p>
        </w:tc>
        <w:tc>
          <w:tcPr>
            <w:tcW w:w="425" w:type="dxa"/>
            <w:vAlign w:val="center"/>
          </w:tcPr>
          <w:p w14:paraId="569A541F" w14:textId="31073347" w:rsidR="00EE740C" w:rsidRPr="003365B3" w:rsidRDefault="00EE740C"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K</w:t>
            </w:r>
          </w:p>
        </w:tc>
      </w:tr>
      <w:tr w:rsidR="000E7EDE" w:rsidRPr="00B87920" w14:paraId="128B14E2" w14:textId="77777777" w:rsidTr="000E7EDE">
        <w:trPr>
          <w:trHeight w:val="58"/>
        </w:trPr>
        <w:tc>
          <w:tcPr>
            <w:tcW w:w="7621" w:type="dxa"/>
            <w:vAlign w:val="center"/>
          </w:tcPr>
          <w:p w14:paraId="46EB61AE" w14:textId="3C090315" w:rsidR="000E7EDE" w:rsidRPr="0080033D" w:rsidRDefault="00712C2E"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after="0" w:line="240" w:lineRule="auto"/>
              <w:rPr>
                <w:rFonts w:hint="eastAsia"/>
                <w:sz w:val="10"/>
                <w:szCs w:val="10"/>
                <w:lang w:val="en-GB" w:eastAsia="en-GB"/>
              </w:rPr>
            </w:pPr>
            <m:oMath>
              <m:r>
                <w:rPr>
                  <w:rFonts w:ascii="Cambria Math" w:hAnsi="Cambria Math"/>
                  <w:sz w:val="24"/>
                  <w:szCs w:val="24"/>
                  <w:lang w:val="en-GB" w:eastAsia="en-GB"/>
                </w:rPr>
                <m:t>EH=HF</m:t>
              </m:r>
              <m:r>
                <m:rPr>
                  <m:sty m:val="p"/>
                </m:rPr>
                <w:rPr>
                  <w:rFonts w:ascii="Cambria Math" w:hAnsi="Cambria Math" w:hint="eastAsia"/>
                  <w:sz w:val="24"/>
                  <w:szCs w:val="24"/>
                  <w:lang w:val="en-GB" w:eastAsia="en-GB"/>
                </w:rPr>
                <m:t>⇒</m:t>
              </m:r>
            </m:oMath>
            <w:r w:rsidR="003F6D9E" w:rsidRPr="003365B3">
              <w:rPr>
                <w:sz w:val="24"/>
                <w:szCs w:val="24"/>
                <w:lang w:val="en-GB" w:eastAsia="en-GB"/>
              </w:rPr>
              <w:t xml:space="preserve"> </w:t>
            </w:r>
            <m:oMath>
              <m:r>
                <w:rPr>
                  <w:rFonts w:ascii="Cambria Math" w:hAnsi="Cambria Math"/>
                  <w:sz w:val="24"/>
                  <w:szCs w:val="24"/>
                  <w:lang w:val="en-GB" w:eastAsia="en-GB"/>
                </w:rPr>
                <m:t>2</m:t>
              </m:r>
              <m:sSup>
                <m:sSupPr>
                  <m:ctrlPr>
                    <w:rPr>
                      <w:rFonts w:ascii="Cambria Math" w:hAnsi="Cambria Math"/>
                      <w:i/>
                      <w:sz w:val="24"/>
                      <w:szCs w:val="24"/>
                      <w:lang w:val="en-GB" w:eastAsia="en-GB"/>
                    </w:rPr>
                  </m:ctrlPr>
                </m:sSupPr>
                <m:e>
                  <m:r>
                    <w:rPr>
                      <w:rFonts w:ascii="Cambria Math" w:hAnsi="Cambria Math"/>
                      <w:sz w:val="24"/>
                      <w:szCs w:val="24"/>
                      <w:lang w:val="en-GB" w:eastAsia="en-GB"/>
                    </w:rPr>
                    <m:t>(EH)</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(EF)</m:t>
                  </m:r>
                </m:e>
                <m:sup>
                  <m:r>
                    <w:rPr>
                      <w:rFonts w:ascii="Cambria Math" w:hAnsi="Cambria Math"/>
                      <w:sz w:val="24"/>
                      <w:szCs w:val="24"/>
                      <w:lang w:val="en-GB" w:eastAsia="en-GB"/>
                    </w:rPr>
                    <m:t>2</m:t>
                  </m:r>
                </m:sup>
              </m:sSup>
            </m:oMath>
            <w:r w:rsidRPr="003365B3">
              <w:rPr>
                <w:sz w:val="24"/>
                <w:szCs w:val="24"/>
                <w:lang w:val="en-GB" w:eastAsia="en-GB"/>
              </w:rPr>
              <w:t xml:space="preserve"> therefore </w:t>
            </w:r>
            <m:oMath>
              <m:r>
                <w:rPr>
                  <w:rFonts w:ascii="Cambria Math" w:hAnsi="Cambria Math"/>
                  <w:sz w:val="24"/>
                  <w:szCs w:val="24"/>
                  <w:lang w:val="en-GB" w:eastAsia="en-GB"/>
                </w:rPr>
                <m:t xml:space="preserve">EH = </m:t>
              </m:r>
              <m:f>
                <m:fPr>
                  <m:ctrlPr>
                    <w:rPr>
                      <w:rFonts w:ascii="Cambria Math" w:hAnsi="Cambria Math"/>
                      <w:i/>
                      <w:sz w:val="24"/>
                      <w:szCs w:val="24"/>
                      <w:lang w:val="en-GB" w:eastAsia="en-GB"/>
                    </w:rPr>
                  </m:ctrlPr>
                </m:fPr>
                <m:num>
                  <m:r>
                    <w:rPr>
                      <w:rFonts w:ascii="Cambria Math" w:hAnsi="Cambria Math"/>
                      <w:sz w:val="24"/>
                      <w:szCs w:val="24"/>
                      <w:lang w:val="en-GB" w:eastAsia="en-GB"/>
                    </w:rPr>
                    <m:t>EF</m:t>
                  </m:r>
                </m:num>
                <m:den>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den>
              </m:f>
            </m:oMath>
            <w:r w:rsidR="003365B3" w:rsidRPr="003365B3">
              <w:rPr>
                <w:sz w:val="24"/>
                <w:szCs w:val="24"/>
                <w:lang w:val="en-GB" w:eastAsia="en-GB"/>
              </w:rPr>
              <w:br/>
            </w:r>
          </w:p>
        </w:tc>
        <w:tc>
          <w:tcPr>
            <w:tcW w:w="425" w:type="dxa"/>
            <w:vAlign w:val="center"/>
          </w:tcPr>
          <w:p w14:paraId="4F0F21A8" w14:textId="4131D893" w:rsidR="000E7EDE" w:rsidRPr="003365B3" w:rsidRDefault="003F6D9E"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L</w:t>
            </w:r>
          </w:p>
        </w:tc>
      </w:tr>
      <w:tr w:rsidR="00712C2E" w:rsidRPr="00B87920" w14:paraId="636FCFB9" w14:textId="77777777" w:rsidTr="000E7EDE">
        <w:trPr>
          <w:trHeight w:val="58"/>
        </w:trPr>
        <w:tc>
          <w:tcPr>
            <w:tcW w:w="7621" w:type="dxa"/>
            <w:vAlign w:val="center"/>
          </w:tcPr>
          <w:p w14:paraId="7453A2CC" w14:textId="23C5D972" w:rsidR="00712C2E" w:rsidRPr="003365B3" w:rsidRDefault="00712C2E" w:rsidP="00F724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imes New Roman" w:eastAsia="Times New Roman" w:hAnsi="Times New Roman"/>
                <w:sz w:val="24"/>
                <w:szCs w:val="24"/>
                <w:lang w:val="en-GB" w:eastAsia="en-GB"/>
              </w:rPr>
            </w:pPr>
            <w:r w:rsidRPr="003365B3">
              <w:rPr>
                <w:sz w:val="24"/>
                <w:szCs w:val="24"/>
                <w:lang w:val="en-GB" w:eastAsia="en-GB"/>
              </w:rPr>
              <w:t xml:space="preserve">Area of </w:t>
            </w:r>
            <m:oMath>
              <m:r>
                <w:rPr>
                  <w:rFonts w:ascii="Cambria Math" w:hAnsi="Cambria Math"/>
                  <w:sz w:val="24"/>
                  <w:szCs w:val="24"/>
                  <w:lang w:val="en-GB" w:eastAsia="en-GB"/>
                </w:rPr>
                <m:t>MEFG</m:t>
              </m:r>
            </m:oMath>
            <w:r w:rsidRPr="003365B3">
              <w:rPr>
                <w:sz w:val="24"/>
                <w:szCs w:val="24"/>
                <w:lang w:val="en-GB" w:eastAsia="en-GB"/>
              </w:rPr>
              <w:t xml:space="preserve"> is twice the area of </w:t>
            </w:r>
            <m:oMath>
              <m:r>
                <w:rPr>
                  <w:rFonts w:ascii="Cambria Math" w:hAnsi="Cambria Math"/>
                  <w:sz w:val="24"/>
                  <w:szCs w:val="24"/>
                  <w:lang w:val="en-GB" w:eastAsia="en-GB"/>
                </w:rPr>
                <m:t>∆MEF</m:t>
              </m:r>
            </m:oMath>
            <w:r w:rsidR="00C74C4B" w:rsidRPr="003365B3">
              <w:rPr>
                <w:sz w:val="24"/>
                <w:szCs w:val="24"/>
                <w:lang w:val="en-GB" w:eastAsia="en-GB"/>
              </w:rPr>
              <w:t xml:space="preserve">, therefore </w:t>
            </w:r>
            <w:r w:rsidR="00F7240A">
              <w:rPr>
                <w:sz w:val="24"/>
                <w:szCs w:val="24"/>
                <w:lang w:val="en-GB" w:eastAsia="en-GB"/>
              </w:rPr>
              <w:br/>
            </w:r>
            <w:r w:rsidR="00C74C4B" w:rsidRPr="003365B3">
              <w:rPr>
                <w:sz w:val="24"/>
                <w:szCs w:val="24"/>
                <w:lang w:val="en-GB" w:eastAsia="en-GB"/>
              </w:rPr>
              <w:t xml:space="preserve">area </w:t>
            </w:r>
            <m:oMath>
              <m:r>
                <w:rPr>
                  <w:rFonts w:ascii="Cambria Math" w:hAnsi="Cambria Math"/>
                  <w:sz w:val="24"/>
                  <w:szCs w:val="24"/>
                  <w:lang w:val="en-GB" w:eastAsia="en-GB"/>
                </w:rPr>
                <m:t>MEFG=</m:t>
              </m:r>
              <m:f>
                <m:fPr>
                  <m:ctrlPr>
                    <w:rPr>
                      <w:rFonts w:ascii="Cambria Math" w:hAnsi="Cambria Math"/>
                      <w:i/>
                      <w:sz w:val="24"/>
                      <w:szCs w:val="24"/>
                      <w:lang w:val="en-GB" w:eastAsia="en-GB"/>
                    </w:rPr>
                  </m:ctrlPr>
                </m:fPr>
                <m:num>
                  <m:r>
                    <w:rPr>
                      <w:rFonts w:ascii="Cambria Math" w:hAnsi="Cambria Math"/>
                      <w:sz w:val="24"/>
                      <w:szCs w:val="24"/>
                      <w:lang w:val="en-GB" w:eastAsia="en-GB"/>
                    </w:rPr>
                    <m:t>EF</m:t>
                  </m:r>
                </m:num>
                <m:den>
                  <m:rad>
                    <m:radPr>
                      <m:degHide m:val="1"/>
                      <m:ctrlPr>
                        <w:rPr>
                          <w:rFonts w:ascii="Cambria Math" w:hAnsi="Cambria Math"/>
                          <w:i/>
                          <w:sz w:val="24"/>
                          <w:szCs w:val="24"/>
                          <w:lang w:val="en-GB" w:eastAsia="en-GB"/>
                        </w:rPr>
                      </m:ctrlPr>
                    </m:radPr>
                    <m:deg/>
                    <m:e>
                      <m:r>
                        <w:rPr>
                          <w:rFonts w:ascii="Cambria Math" w:hAnsi="Cambria Math"/>
                          <w:sz w:val="24"/>
                          <w:szCs w:val="24"/>
                          <w:lang w:val="en-GB" w:eastAsia="en-GB"/>
                        </w:rPr>
                        <m:t>2</m:t>
                      </m:r>
                    </m:e>
                  </m:rad>
                </m:den>
              </m:f>
            </m:oMath>
          </w:p>
        </w:tc>
        <w:tc>
          <w:tcPr>
            <w:tcW w:w="425" w:type="dxa"/>
            <w:vAlign w:val="center"/>
          </w:tcPr>
          <w:p w14:paraId="7BC26623" w14:textId="77777777" w:rsidR="002048AC" w:rsidRPr="003365B3" w:rsidRDefault="002048AC"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p>
          <w:p w14:paraId="6E59C31E" w14:textId="77777777" w:rsidR="00712C2E" w:rsidRPr="003365B3" w:rsidRDefault="00712C2E"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3365B3">
              <w:rPr>
                <w:rFonts w:ascii="Tahoma" w:eastAsia="Times New Roman" w:hAnsi="Tahoma" w:cs="Tahoma"/>
                <w:color w:val="auto"/>
                <w:sz w:val="24"/>
                <w:szCs w:val="24"/>
                <w:lang w:val="en-GB" w:eastAsia="en-GB"/>
              </w:rPr>
              <w:t>M</w:t>
            </w:r>
          </w:p>
          <w:p w14:paraId="47996977" w14:textId="6BD53B88" w:rsidR="002048AC" w:rsidRPr="003365B3" w:rsidRDefault="002048AC"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p>
        </w:tc>
      </w:tr>
    </w:tbl>
    <w:p w14:paraId="1DE3A627" w14:textId="77777777" w:rsidR="007114D2" w:rsidRDefault="007114D2"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hint="eastAsia"/>
        </w:rPr>
      </w:pPr>
    </w:p>
    <w:p w14:paraId="4169F2E5" w14:textId="77777777"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hint="eastAsia"/>
        </w:rPr>
      </w:pPr>
    </w:p>
    <w:p w14:paraId="18981508" w14:textId="77777777"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hint="eastAsia"/>
        </w:rPr>
      </w:pPr>
    </w:p>
    <w:p w14:paraId="1D6BA595" w14:textId="77777777"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hint="eastAsia"/>
        </w:rPr>
      </w:pPr>
    </w:p>
    <w:p w14:paraId="45BBF828" w14:textId="77777777"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hint="eastAsia"/>
        </w:rPr>
      </w:pPr>
    </w:p>
    <w:p w14:paraId="572BE4C1" w14:textId="27A1A075" w:rsidR="00C475EA" w:rsidRDefault="006E5D37"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rPr>
      </w:pPr>
      <w:r>
        <w:rPr>
          <w:noProof/>
          <w:sz w:val="20"/>
          <w:lang w:val="en-GB" w:eastAsia="en-GB"/>
        </w:rPr>
        <w:drawing>
          <wp:inline distT="0" distB="0" distL="0" distR="0" wp14:anchorId="066883A2" wp14:editId="728E94D9">
            <wp:extent cx="1647825" cy="1685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647825" cy="1685925"/>
                    </a:xfrm>
                    <a:prstGeom prst="rect">
                      <a:avLst/>
                    </a:prstGeom>
                    <a:noFill/>
                    <a:ln w="9525">
                      <a:noFill/>
                      <a:miter lim="800000"/>
                      <a:headEnd/>
                      <a:tailEnd/>
                    </a:ln>
                  </pic:spPr>
                </pic:pic>
              </a:graphicData>
            </a:graphic>
          </wp:inline>
        </w:drawing>
      </w:r>
    </w:p>
    <w:p w14:paraId="7E9571C8" w14:textId="463AF839" w:rsidR="00AE30DB" w:rsidRPr="00AE30DB" w:rsidRDefault="00AE30DB" w:rsidP="00AE30DB">
      <w:pPr>
        <w:rPr>
          <w:lang w:val="en-GB" w:eastAsia="en-GB"/>
        </w:rPr>
      </w:pPr>
    </w:p>
    <w:p w14:paraId="5F517234" w14:textId="52972A61" w:rsidR="00AE30DB" w:rsidRPr="00AE30DB" w:rsidRDefault="00AE30DB" w:rsidP="00AE30DB">
      <w:pPr>
        <w:rPr>
          <w:lang w:val="en-GB" w:eastAsia="en-GB"/>
        </w:rPr>
      </w:pPr>
    </w:p>
    <w:p w14:paraId="0C419DE3" w14:textId="4C52CE5A" w:rsidR="00AE30DB" w:rsidRPr="00AE30DB" w:rsidRDefault="00AE30DB" w:rsidP="00AE30DB">
      <w:pPr>
        <w:rPr>
          <w:lang w:val="en-GB" w:eastAsia="en-GB"/>
        </w:rPr>
      </w:pPr>
    </w:p>
    <w:p w14:paraId="1FC33813" w14:textId="1F4B0187" w:rsidR="00AE30DB" w:rsidRPr="00AE30DB" w:rsidRDefault="00AE30DB" w:rsidP="00AE30DB">
      <w:pPr>
        <w:rPr>
          <w:lang w:val="en-GB" w:eastAsia="en-GB"/>
        </w:rPr>
      </w:pPr>
    </w:p>
    <w:p w14:paraId="1B865C9B" w14:textId="0C9B6181" w:rsidR="00AE30DB" w:rsidRPr="00AE30DB" w:rsidRDefault="00AE30DB" w:rsidP="00AE30DB">
      <w:pPr>
        <w:rPr>
          <w:lang w:val="en-GB" w:eastAsia="en-GB"/>
        </w:rPr>
      </w:pPr>
    </w:p>
    <w:p w14:paraId="3FF8585F" w14:textId="35630B6E" w:rsidR="00AE30DB" w:rsidRPr="00AE30DB" w:rsidRDefault="00AE30DB" w:rsidP="00AE30DB">
      <w:pPr>
        <w:rPr>
          <w:lang w:val="en-GB" w:eastAsia="en-GB"/>
        </w:rPr>
      </w:pPr>
    </w:p>
    <w:p w14:paraId="33BA4969" w14:textId="0C9F21CE" w:rsidR="00AE30DB" w:rsidRPr="00AE30DB" w:rsidRDefault="00AE30DB" w:rsidP="00AE30DB">
      <w:pPr>
        <w:rPr>
          <w:lang w:val="en-GB" w:eastAsia="en-GB"/>
        </w:rPr>
      </w:pPr>
    </w:p>
    <w:p w14:paraId="4FE09B73" w14:textId="76B86CC8" w:rsidR="00AE30DB" w:rsidRPr="00AE30DB" w:rsidRDefault="00AE30DB" w:rsidP="00AE30DB">
      <w:pPr>
        <w:rPr>
          <w:lang w:val="en-GB" w:eastAsia="en-GB"/>
        </w:rPr>
      </w:pPr>
    </w:p>
    <w:p w14:paraId="1C3224FA" w14:textId="4AC14916" w:rsidR="00AE30DB" w:rsidRPr="00AE30DB" w:rsidRDefault="00AE30DB" w:rsidP="00AE30DB">
      <w:pPr>
        <w:rPr>
          <w:lang w:val="en-GB" w:eastAsia="en-GB"/>
        </w:rPr>
      </w:pPr>
    </w:p>
    <w:p w14:paraId="741DA8A8" w14:textId="30DC22CD" w:rsidR="00AE30DB" w:rsidRPr="00AE30DB" w:rsidRDefault="00AE30DB" w:rsidP="00AE30DB">
      <w:pPr>
        <w:rPr>
          <w:lang w:val="en-GB" w:eastAsia="en-GB"/>
        </w:rPr>
      </w:pPr>
    </w:p>
    <w:p w14:paraId="082FF05D" w14:textId="3224C3C0" w:rsidR="00AE30DB" w:rsidRPr="00AE30DB" w:rsidRDefault="00AE30DB" w:rsidP="00AE30DB">
      <w:pPr>
        <w:rPr>
          <w:lang w:val="en-GB" w:eastAsia="en-GB"/>
        </w:rPr>
      </w:pPr>
    </w:p>
    <w:p w14:paraId="47767DC8" w14:textId="27C4441D" w:rsidR="00AE30DB" w:rsidRPr="00AE30DB" w:rsidRDefault="00AE30DB" w:rsidP="00AE30DB">
      <w:pPr>
        <w:rPr>
          <w:lang w:val="en-GB" w:eastAsia="en-GB"/>
        </w:rPr>
      </w:pPr>
    </w:p>
    <w:p w14:paraId="2F75D9F0" w14:textId="57369804" w:rsidR="00AE30DB" w:rsidRPr="00AE30DB" w:rsidRDefault="00AE30DB" w:rsidP="00AE30DB">
      <w:pPr>
        <w:rPr>
          <w:lang w:val="en-GB" w:eastAsia="en-GB"/>
        </w:rPr>
      </w:pPr>
    </w:p>
    <w:p w14:paraId="6472A466" w14:textId="1D19B9D2" w:rsidR="00AE30DB" w:rsidRPr="00AE30DB" w:rsidRDefault="00AE30DB" w:rsidP="00AE30DB">
      <w:pPr>
        <w:rPr>
          <w:lang w:val="en-GB" w:eastAsia="en-GB"/>
        </w:rPr>
      </w:pPr>
    </w:p>
    <w:p w14:paraId="7EFA5BD1" w14:textId="65A15969" w:rsidR="00AE30DB" w:rsidRPr="00AE30DB" w:rsidRDefault="00AE30DB" w:rsidP="00AE30DB">
      <w:pPr>
        <w:rPr>
          <w:lang w:val="en-GB" w:eastAsia="en-GB"/>
        </w:rPr>
      </w:pPr>
    </w:p>
    <w:p w14:paraId="79EFEDFA" w14:textId="0489920D" w:rsidR="00AE30DB" w:rsidRPr="00AE30DB" w:rsidRDefault="00AE30DB" w:rsidP="00AE30DB">
      <w:pPr>
        <w:rPr>
          <w:lang w:val="en-GB" w:eastAsia="en-GB"/>
        </w:rPr>
      </w:pPr>
    </w:p>
    <w:p w14:paraId="2CB4A483" w14:textId="2917FA60" w:rsidR="00AE30DB" w:rsidRPr="00AE30DB" w:rsidRDefault="00AE30DB" w:rsidP="00AE30DB">
      <w:pPr>
        <w:rPr>
          <w:lang w:val="en-GB" w:eastAsia="en-GB"/>
        </w:rPr>
      </w:pPr>
    </w:p>
    <w:p w14:paraId="17ED04FA" w14:textId="7AE4A4F6" w:rsidR="00AE30DB" w:rsidRPr="00AE30DB" w:rsidRDefault="00AE30DB" w:rsidP="00AE30DB">
      <w:pPr>
        <w:rPr>
          <w:lang w:val="en-GB" w:eastAsia="en-GB"/>
        </w:rPr>
      </w:pPr>
    </w:p>
    <w:p w14:paraId="30996FC6" w14:textId="0961C2E5" w:rsidR="00AE30DB" w:rsidRPr="00AE30DB" w:rsidRDefault="00AE30DB" w:rsidP="00AE30DB">
      <w:pPr>
        <w:rPr>
          <w:lang w:val="en-GB" w:eastAsia="en-GB"/>
        </w:rPr>
      </w:pPr>
    </w:p>
    <w:p w14:paraId="067E7501" w14:textId="3C5B687A" w:rsidR="00AE30DB" w:rsidRPr="00AE30DB" w:rsidRDefault="00AE30DB" w:rsidP="00AE30DB">
      <w:pPr>
        <w:rPr>
          <w:lang w:val="en-GB" w:eastAsia="en-GB"/>
        </w:rPr>
      </w:pPr>
    </w:p>
    <w:p w14:paraId="19C3E43E" w14:textId="0B17E2C9" w:rsidR="00AE30DB" w:rsidRPr="00AE30DB" w:rsidRDefault="00AE30DB" w:rsidP="00AE30DB">
      <w:pPr>
        <w:rPr>
          <w:lang w:val="en-GB" w:eastAsia="en-GB"/>
        </w:rPr>
      </w:pPr>
    </w:p>
    <w:p w14:paraId="2E63FEB4" w14:textId="4D2F1662" w:rsidR="00AE30DB" w:rsidRPr="00AE30DB" w:rsidRDefault="00AE30DB" w:rsidP="00AE30DB">
      <w:pPr>
        <w:rPr>
          <w:lang w:val="en-GB" w:eastAsia="en-GB"/>
        </w:rPr>
      </w:pPr>
    </w:p>
    <w:p w14:paraId="227A8306" w14:textId="5101335A" w:rsidR="00AE30DB" w:rsidRPr="00AE30DB" w:rsidRDefault="00AE30DB" w:rsidP="00AE30DB">
      <w:pPr>
        <w:rPr>
          <w:lang w:val="en-GB" w:eastAsia="en-GB"/>
        </w:rPr>
      </w:pPr>
    </w:p>
    <w:p w14:paraId="361BEA0C" w14:textId="67EEACD8" w:rsidR="00AE30DB" w:rsidRPr="00AE30DB" w:rsidRDefault="00AE30DB" w:rsidP="00AE30DB">
      <w:pPr>
        <w:rPr>
          <w:lang w:val="en-GB" w:eastAsia="en-GB"/>
        </w:rPr>
      </w:pPr>
    </w:p>
    <w:p w14:paraId="4A69B62E" w14:textId="547EE923" w:rsidR="00AE30DB" w:rsidRPr="00AE30DB" w:rsidRDefault="00AE30DB" w:rsidP="00AE30DB">
      <w:pPr>
        <w:rPr>
          <w:lang w:val="en-GB" w:eastAsia="en-GB"/>
        </w:rPr>
      </w:pPr>
    </w:p>
    <w:p w14:paraId="23C2C92B" w14:textId="02AC4E37" w:rsidR="00AE30DB" w:rsidRPr="00AE30DB" w:rsidRDefault="00AE30DB" w:rsidP="00AE30DB">
      <w:pPr>
        <w:rPr>
          <w:lang w:val="en-GB" w:eastAsia="en-GB"/>
        </w:rPr>
      </w:pPr>
    </w:p>
    <w:p w14:paraId="2741546C" w14:textId="10506ECF" w:rsidR="00AE30DB" w:rsidRPr="00AE30DB" w:rsidRDefault="00AE30DB" w:rsidP="00AE30DB">
      <w:pPr>
        <w:rPr>
          <w:lang w:val="en-GB" w:eastAsia="en-GB"/>
        </w:rPr>
      </w:pPr>
    </w:p>
    <w:p w14:paraId="78B7AED2" w14:textId="39BAB443" w:rsidR="00AE30DB" w:rsidRDefault="00AE30DB" w:rsidP="00AE30DB">
      <w:pPr>
        <w:rPr>
          <w:sz w:val="20"/>
          <w:szCs w:val="20"/>
          <w:lang w:val="en-GB" w:eastAsia="en-GB"/>
        </w:rPr>
      </w:pPr>
    </w:p>
    <w:p w14:paraId="4AA23F7D" w14:textId="4D6A6D62" w:rsidR="00AE30DB" w:rsidRDefault="00AE30DB" w:rsidP="00AE30DB">
      <w:pPr>
        <w:rPr>
          <w:sz w:val="20"/>
          <w:szCs w:val="20"/>
          <w:lang w:val="en-GB" w:eastAsia="en-GB"/>
        </w:rPr>
      </w:pPr>
    </w:p>
    <w:p w14:paraId="06F333AE" w14:textId="3B123CFA" w:rsidR="00AE30DB" w:rsidRPr="00AE30DB" w:rsidRDefault="00AE30DB" w:rsidP="00AE30DB">
      <w:pPr>
        <w:tabs>
          <w:tab w:val="left" w:pos="5880"/>
        </w:tabs>
        <w:rPr>
          <w:lang w:val="en-GB" w:eastAsia="en-GB"/>
        </w:rPr>
      </w:pPr>
      <w:r>
        <w:rPr>
          <w:lang w:val="en-GB" w:eastAsia="en-GB"/>
        </w:rPr>
        <w:tab/>
      </w:r>
    </w:p>
    <w:sectPr w:rsidR="00AE30DB" w:rsidRPr="00AE30DB" w:rsidSect="008A026B">
      <w:headerReference w:type="even" r:id="rId8"/>
      <w:headerReference w:type="default" r:id="rId9"/>
      <w:footerReference w:type="even" r:id="rId10"/>
      <w:footerReference w:type="default" r:id="rId11"/>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F2C9" w14:textId="77777777" w:rsidR="00985D63" w:rsidRDefault="00985D63">
      <w:r>
        <w:separator/>
      </w:r>
    </w:p>
  </w:endnote>
  <w:endnote w:type="continuationSeparator" w:id="0">
    <w:p w14:paraId="7344A46C" w14:textId="77777777" w:rsidR="00985D63" w:rsidRDefault="0098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7A2" w14:textId="77777777" w:rsidR="006C67D6" w:rsidRPr="00681649" w:rsidRDefault="00985D63"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0E3D" w14:textId="4B9B96F8" w:rsidR="00D24BDD" w:rsidRPr="006E5D37" w:rsidRDefault="00B358A2" w:rsidP="00E716D3">
    <w:pPr>
      <w:pStyle w:val="HeaderFooter"/>
      <w:rPr>
        <w:rFonts w:ascii="Arial" w:hAnsi="Arial" w:cs="Arial"/>
        <w:i/>
        <w:sz w:val="18"/>
        <w:szCs w:val="18"/>
      </w:rPr>
    </w:pPr>
    <w:r w:rsidRPr="006E5D37">
      <w:rPr>
        <w:rFonts w:ascii="Arial" w:hAnsi="Arial" w:cs="Arial"/>
        <w:i/>
        <w:sz w:val="18"/>
        <w:szCs w:val="18"/>
      </w:rPr>
      <w:t>nrich.maths.org/</w:t>
    </w:r>
    <w:r w:rsidR="00AE30DB">
      <w:rPr>
        <w:rFonts w:ascii="Arial" w:hAnsi="Arial" w:cs="Arial"/>
        <w:i/>
        <w:sz w:val="18"/>
        <w:szCs w:val="18"/>
      </w:rPr>
      <w:t>15022</w:t>
    </w:r>
  </w:p>
  <w:p w14:paraId="1776F368" w14:textId="77777777" w:rsidR="00D24BDD" w:rsidRPr="006E5D37" w:rsidRDefault="00D24BDD" w:rsidP="00E716D3">
    <w:pPr>
      <w:pStyle w:val="HeaderFooter"/>
      <w:rPr>
        <w:rFonts w:ascii="Arial" w:hAnsi="Arial" w:cs="Arial"/>
        <w:i/>
        <w:sz w:val="18"/>
        <w:szCs w:val="18"/>
      </w:rPr>
    </w:pPr>
    <w:r w:rsidRPr="006E5D37">
      <w:rPr>
        <w:rFonts w:ascii="Arial" w:hAnsi="Arial" w:cs="Arial"/>
        <w:i/>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3EE5" w14:textId="77777777" w:rsidR="00985D63" w:rsidRDefault="00985D63">
      <w:r>
        <w:separator/>
      </w:r>
    </w:p>
  </w:footnote>
  <w:footnote w:type="continuationSeparator" w:id="0">
    <w:p w14:paraId="2CC5CA07" w14:textId="77777777" w:rsidR="00985D63" w:rsidRDefault="0098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209" w14:textId="77777777" w:rsidR="00681649" w:rsidRDefault="00985D63">
    <w:pPr>
      <w:pStyle w:val="Header"/>
    </w:pPr>
    <w:r>
      <w:rPr>
        <w:noProof/>
        <w:lang w:val="en-GB" w:eastAsia="en-GB"/>
      </w:rPr>
      <w:pict w14:anchorId="34745766">
        <v:group id="_x0000_s1040"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1B85C8B5"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43" style="position:absolute;width:2020;height:1260" coordsize="21600,21600" o:spt="100" adj="0,,0" path="" strokeweight="1pt">
              <v:stroke joinstyle="round"/>
              <v:imagedata r:id="rId1" o:title=""/>
              <v:formulas/>
              <v:path o:connecttype="segments"/>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7A40DBB9" w14:textId="77777777" w:rsidR="00681649" w:rsidRDefault="00681649" w:rsidP="00170674">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4C4" w14:textId="77777777" w:rsidR="006C67D6" w:rsidRDefault="00985D63" w:rsidP="00E716D3">
    <w:pPr>
      <w:pStyle w:val="HeaderFooter"/>
      <w:rPr>
        <w:rFonts w:hint="eastAsia"/>
        <w:lang w:val="en-GB" w:eastAsia="en-GB"/>
      </w:rPr>
    </w:pPr>
    <w:r>
      <w:rPr>
        <w:rFonts w:hint="eastAsia"/>
        <w:noProof/>
        <w:lang w:val="en-GB" w:eastAsia="en-GB"/>
      </w:rPr>
      <w:pict w14:anchorId="6E49AD2F">
        <v:group id="_x0000_s1025"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47F8B5E4" w14:textId="77777777" w:rsidR="001031EA" w:rsidRPr="00411C78"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28" style="position:absolute;width:2020;height:1260" coordsize="21600,21600" o:spt="100" adj="0,,0" path="" strokeweight="1pt">
              <v:stroke joinstyle="round"/>
              <v:imagedata r:id="rId1" o:title=""/>
              <v:formulas/>
              <v:path o:connecttype="segments"/>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21B4178B" w14:textId="4211BCB7" w:rsidR="001031EA" w:rsidRPr="00F91356" w:rsidRDefault="00411C78" w:rsidP="00170674">
                  <w:pPr>
                    <w:pStyle w:val="Title"/>
                    <w:rPr>
                      <w:lang w:val="it-IT"/>
                    </w:rPr>
                  </w:pPr>
                  <w:r w:rsidRPr="00F91356">
                    <w:rPr>
                      <w:lang w:val="it-IT"/>
                    </w:rPr>
                    <w:t xml:space="preserve">Kite in a Square </w:t>
                  </w:r>
                  <w:r w:rsidR="00F91356">
                    <w:rPr>
                      <w:lang w:val="it-IT"/>
                    </w:rPr>
                    <w:t>3</w:t>
                  </w:r>
                </w:p>
                <w:p w14:paraId="14F7FBA0" w14:textId="77777777" w:rsidR="0096163F" w:rsidRPr="00F91356" w:rsidRDefault="0096163F" w:rsidP="0096163F">
                  <w:pPr>
                    <w:pStyle w:val="Body"/>
                    <w:rPr>
                      <w:rFonts w:hint="eastAsia"/>
                      <w:lang w:val="it-IT"/>
                    </w:rPr>
                  </w:pPr>
                </w:p>
              </w:txbxContent>
            </v:textbox>
          </v:rect>
          <w10:wrap type="tigh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077A"/>
    <w:rsid w:val="00061E04"/>
    <w:rsid w:val="000D5674"/>
    <w:rsid w:val="000E7EDE"/>
    <w:rsid w:val="001031EA"/>
    <w:rsid w:val="00170674"/>
    <w:rsid w:val="001C3F74"/>
    <w:rsid w:val="001F2C88"/>
    <w:rsid w:val="002048AC"/>
    <w:rsid w:val="002A5A15"/>
    <w:rsid w:val="002B1B5A"/>
    <w:rsid w:val="002E6CA6"/>
    <w:rsid w:val="003365B3"/>
    <w:rsid w:val="003476CC"/>
    <w:rsid w:val="00361508"/>
    <w:rsid w:val="00361DD6"/>
    <w:rsid w:val="003B0202"/>
    <w:rsid w:val="003B61D0"/>
    <w:rsid w:val="003F6D9E"/>
    <w:rsid w:val="00411C78"/>
    <w:rsid w:val="00497DA8"/>
    <w:rsid w:val="00524F5A"/>
    <w:rsid w:val="00544BA3"/>
    <w:rsid w:val="00553C34"/>
    <w:rsid w:val="00681649"/>
    <w:rsid w:val="00681D30"/>
    <w:rsid w:val="006C67D6"/>
    <w:rsid w:val="006E5D37"/>
    <w:rsid w:val="007114D2"/>
    <w:rsid w:val="00712C2E"/>
    <w:rsid w:val="00721DFC"/>
    <w:rsid w:val="00756EFE"/>
    <w:rsid w:val="007575DB"/>
    <w:rsid w:val="007B1E51"/>
    <w:rsid w:val="007B6B0E"/>
    <w:rsid w:val="0080033D"/>
    <w:rsid w:val="008A026B"/>
    <w:rsid w:val="008D7024"/>
    <w:rsid w:val="009037AA"/>
    <w:rsid w:val="009229FE"/>
    <w:rsid w:val="0096163F"/>
    <w:rsid w:val="00985D63"/>
    <w:rsid w:val="00A16786"/>
    <w:rsid w:val="00A5077A"/>
    <w:rsid w:val="00A90747"/>
    <w:rsid w:val="00AA4A32"/>
    <w:rsid w:val="00AE30DB"/>
    <w:rsid w:val="00B358A2"/>
    <w:rsid w:val="00B87920"/>
    <w:rsid w:val="00B97868"/>
    <w:rsid w:val="00BD45F3"/>
    <w:rsid w:val="00C1089A"/>
    <w:rsid w:val="00C16C4B"/>
    <w:rsid w:val="00C30529"/>
    <w:rsid w:val="00C475EA"/>
    <w:rsid w:val="00C74C4B"/>
    <w:rsid w:val="00CF0963"/>
    <w:rsid w:val="00D24BDD"/>
    <w:rsid w:val="00DD4546"/>
    <w:rsid w:val="00DE01AF"/>
    <w:rsid w:val="00DF56A4"/>
    <w:rsid w:val="00E1201D"/>
    <w:rsid w:val="00E3331D"/>
    <w:rsid w:val="00E373A2"/>
    <w:rsid w:val="00E716D3"/>
    <w:rsid w:val="00EE740C"/>
    <w:rsid w:val="00F41A42"/>
    <w:rsid w:val="00F7114B"/>
    <w:rsid w:val="00F7240A"/>
    <w:rsid w:val="00F91356"/>
    <w:rsid w:val="00FB55AA"/>
    <w:rsid w:val="00FC391F"/>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5B9362"/>
  <w15:docId w15:val="{559F27A9-BB46-4BF4-B79D-6D31850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1D"/>
    <w:rPr>
      <w:sz w:val="24"/>
      <w:szCs w:val="24"/>
      <w:lang w:val="en-US" w:eastAsia="en-US"/>
    </w:rPr>
  </w:style>
  <w:style w:type="paragraph" w:styleId="Heading1">
    <w:name w:val="heading 1"/>
    <w:next w:val="Body"/>
    <w:qFormat/>
    <w:rsid w:val="00E1201D"/>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E1201D"/>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E1201D"/>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E1201D"/>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E1201D"/>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061E04"/>
    <w:rPr>
      <w:rFonts w:ascii="Tahoma" w:hAnsi="Tahoma" w:cs="Tahoma"/>
      <w:sz w:val="16"/>
      <w:szCs w:val="16"/>
    </w:rPr>
  </w:style>
  <w:style w:type="character" w:customStyle="1" w:styleId="BalloonTextChar">
    <w:name w:val="Balloon Text Char"/>
    <w:basedOn w:val="DefaultParagraphFont"/>
    <w:link w:val="BalloonText"/>
    <w:rsid w:val="00061E04"/>
    <w:rPr>
      <w:rFonts w:ascii="Tahoma" w:hAnsi="Tahoma" w:cs="Tahoma"/>
      <w:sz w:val="16"/>
      <w:szCs w:val="16"/>
      <w:lang w:val="en-US" w:eastAsia="en-US"/>
    </w:rPr>
  </w:style>
  <w:style w:type="character" w:styleId="PlaceholderText">
    <w:name w:val="Placeholder Text"/>
    <w:basedOn w:val="DefaultParagraphFont"/>
    <w:uiPriority w:val="99"/>
    <w:semiHidden/>
    <w:rsid w:val="00347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1215</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Clare Fanthorpe</cp:lastModifiedBy>
  <cp:revision>3</cp:revision>
  <cp:lastPrinted>2022-02-04T11:13:00Z</cp:lastPrinted>
  <dcterms:created xsi:type="dcterms:W3CDTF">2022-02-07T20:21:00Z</dcterms:created>
  <dcterms:modified xsi:type="dcterms:W3CDTF">2022-02-07T20:21:00Z</dcterms:modified>
</cp:coreProperties>
</file>