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20" w:lineRule="auto"/>
        <w:rPr>
          <w:rFonts w:ascii="Verdana" w:cs="Verdana" w:eastAsia="Verdana" w:hAnsi="Verdana"/>
          <w:highlight w:val="white"/>
        </w:rPr>
      </w:pPr>
      <w:bookmarkStart w:colFirst="0" w:colLast="0" w:name="_heading=h.5gjpu6840yn0" w:id="0"/>
      <w:bookmarkEnd w:id="0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Unit fractions (fractions which have numerators of 1) can be written as the sum of two 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different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unit fractions.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1143000</wp:posOffset>
            </wp:positionH>
            <wp:positionV relativeFrom="paragraph">
              <wp:posOffset>99467</wp:posOffset>
            </wp:positionV>
            <wp:extent cx="805361" cy="360000"/>
            <wp:effectExtent b="0" l="0" r="0" t="0"/>
            <wp:wrapSquare wrapText="bothSides" distB="57150" distT="57150" distL="57150" distR="57150"/>
            <wp:docPr id="1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361" cy="36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example, 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Charlie thought he'd spotted a rule and made up some more examples.</w:t>
        <w:br w:type="textWrapping"/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985135" cy="360000"/>
            <wp:effectExtent b="0" l="0" r="0" t="0"/>
            <wp:docPr id="2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895135" cy="360000"/>
            <wp:effectExtent b="0" l="0" r="0" t="0"/>
            <wp:docPr id="1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895135" cy="3600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895135" cy="3600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Can you describe Charlie’s rule?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Are all his examples correct?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 about the sums that are correct?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some more correct examples.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would you explain to Charlie how to generate lots of correct examples?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20" w:line="360" w:lineRule="auto"/>
        <w:rPr>
          <w:rFonts w:ascii="Verdana" w:cs="Verdana" w:eastAsia="Verdana" w:hAnsi="Verdana"/>
          <w:highlight w:val="white"/>
        </w:rPr>
      </w:pPr>
      <w:bookmarkStart w:colFirst="0" w:colLast="0" w:name="_heading=h.1asgqyn1mswn" w:id="1"/>
      <w:bookmarkEnd w:id="1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Alison started playing around with</w:t>
        <w:tab/>
        <w:t xml:space="preserve">and was surprised to find that there wasn't just one way of doing this.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2990850</wp:posOffset>
            </wp:positionH>
            <wp:positionV relativeFrom="paragraph">
              <wp:posOffset>47625</wp:posOffset>
            </wp:positionV>
            <wp:extent cx="116515" cy="360000"/>
            <wp:effectExtent b="0" l="0" r="0" t="0"/>
            <wp:wrapSquare wrapText="bothSides" distB="0" distT="0" distL="0" distR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8552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515" cy="36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She found: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895135" cy="360000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895135" cy="360000"/>
            <wp:effectExtent b="0" l="0" r="0" t="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895135" cy="360000"/>
            <wp:effectExtent b="0" l="0" r="0" t="0"/>
            <wp:docPr id="1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985135" cy="360000"/>
            <wp:effectExtent b="0" l="0" r="0" t="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5135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533400</wp:posOffset>
            </wp:positionV>
            <wp:extent cx="985135" cy="360000"/>
            <wp:effectExtent b="0" l="0" r="0" t="0"/>
            <wp:wrapSquare wrapText="bothSides" distB="57150" distT="57150" distL="57150" distR="5715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5135" cy="36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(BUT she realised this one didn't count because they were not different.)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20" w:line="360" w:lineRule="auto"/>
        <w:rPr>
          <w:rFonts w:ascii="Verdana" w:cs="Verdana" w:eastAsia="Verdana" w:hAnsi="Verdana"/>
          <w:highlight w:val="white"/>
        </w:rPr>
      </w:pPr>
      <w:bookmarkStart w:colFirst="0" w:colLast="0" w:name="_heading=h.7tljjaqns70n" w:id="2"/>
      <w:bookmarkEnd w:id="2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Charlie tried to do the same with      </w:t>
      </w:r>
      <w:r w:rsidDel="00000000" w:rsidR="00000000" w:rsidRPr="00000000">
        <w:rPr>
          <w:rFonts w:ascii="Verdana" w:cs="Verdana" w:eastAsia="Verdana" w:hAnsi="Verdana"/>
          <w:color w:val="ffffff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 Can you finish Charlie’s calculations to see which ones work?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47625</wp:posOffset>
            </wp:positionV>
            <wp:extent cx="90000" cy="360000"/>
            <wp:effectExtent b="0" l="0" r="0" t="0"/>
            <wp:wrapSquare wrapText="bothSides" distB="0" distT="0" distL="0" distR="0"/>
            <wp:docPr id="1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00" cy="36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700541" cy="360000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541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w:drawing>
          <wp:inline distB="114300" distT="114300" distL="114300" distR="114300">
            <wp:extent cx="790541" cy="360000"/>
            <wp:effectExtent b="0" l="0" r="0" t="0"/>
            <wp:docPr id="1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41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w:drawing>
          <wp:inline distB="114300" distT="114300" distL="114300" distR="114300">
            <wp:extent cx="790541" cy="360000"/>
            <wp:effectExtent b="0" l="0" r="0" t="0"/>
            <wp:docPr id="2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41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all unit fractions be made in more than one way like this?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Choose different unit fractions of your own to test out your theories.</w:t>
      </w:r>
    </w:p>
    <w:sectPr>
      <w:headerReference r:id="rId21" w:type="default"/>
      <w:headerReference r:id="rId22" w:type="even"/>
      <w:footerReference r:id="rId23" w:type="default"/>
      <w:footerReference r:id="rId2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keepitsimple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626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Keep it Simple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626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11" Type="http://schemas.openxmlformats.org/officeDocument/2006/relationships/image" Target="media/image2.png"/><Relationship Id="rId22" Type="http://schemas.openxmlformats.org/officeDocument/2006/relationships/header" Target="header1.xml"/><Relationship Id="rId10" Type="http://schemas.openxmlformats.org/officeDocument/2006/relationships/image" Target="media/image3.png"/><Relationship Id="rId21" Type="http://schemas.openxmlformats.org/officeDocument/2006/relationships/header" Target="header2.xml"/><Relationship Id="rId13" Type="http://schemas.openxmlformats.org/officeDocument/2006/relationships/image" Target="media/image12.png"/><Relationship Id="rId24" Type="http://schemas.openxmlformats.org/officeDocument/2006/relationships/footer" Target="footer1.xml"/><Relationship Id="rId12" Type="http://schemas.openxmlformats.org/officeDocument/2006/relationships/image" Target="media/image4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5.png"/><Relationship Id="rId14" Type="http://schemas.openxmlformats.org/officeDocument/2006/relationships/image" Target="media/image7.png"/><Relationship Id="rId17" Type="http://schemas.openxmlformats.org/officeDocument/2006/relationships/image" Target="media/image11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1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cDpqobKHYv1L/ENS0P8scGscRw==">AMUW2mXdTcr0sIszLQAW/cmhBxUFpubom1/fno2HRQiWi0HoeBCKABS9LzRqPeRbGuG6Vm3J4H4XHsyOBZrAVS0mU6IL45w00xBHJyqDAOd/Y7qkWVIwA/4KKUeL155N/OUBBqMof5Fbq/F+PMX2zR1FWgyxyEm6jjchdTklMcIWyfHK/3J5rKI=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