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3.png" ContentType="image/png"/>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Allowing pupils to record their mathematical ideas as they wish can open up some interesting thoughts in a teacher's mind.</w:t>
        <w:br/>
        <w:br/>
        <w:t xml:space="preserve">I was doing an activity rather like </w:t>
      </w:r>
      <w:hyperlink r:id="rId2">
        <w:r>
          <w:rPr>
            <w:rStyle w:val="InternetLink"/>
            <w:rFonts w:ascii="Liberation Sans" w:hAnsi="Liberation Sans"/>
          </w:rPr>
          <w:t>I'm 8</w:t>
        </w:r>
      </w:hyperlink>
      <w:r>
        <w:rPr>
          <w:rFonts w:ascii="Liberation Sans" w:hAnsi="Liberation Sans"/>
        </w:rPr>
        <w:t xml:space="preserve"> but on this occasion we were making twenty. One of the adults in the room made some unencouraging comments about this piece of work that they saw a 7-year old had done:</w:t>
      </w:r>
    </w:p>
    <w:p>
      <w:pPr>
        <w:pStyle w:val="Normal"/>
        <w:rPr>
          <w:rFonts w:ascii="Liberation Sans" w:hAnsi="Liberation Sans"/>
        </w:rPr>
      </w:pPr>
      <w:r>
        <w:rPr/>
      </w:r>
    </w:p>
    <w:p>
      <w:pPr>
        <w:pStyle w:val="Normal"/>
        <w:jc w:val="center"/>
        <w:rPr>
          <w:rFonts w:ascii="Liberation Sans" w:hAnsi="Liberation Sans"/>
        </w:rPr>
      </w:pPr>
      <w:r>
        <w:rPr>
          <w:rFonts w:ascii="Liberation Sans" w:hAnsi="Liberation Sans"/>
        </w:rPr>
        <w:drawing>
          <wp:inline distT="0" distB="0" distL="0" distR="0">
            <wp:extent cx="3667125" cy="24193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3667125" cy="2419350"/>
                    </a:xfrm>
                    <a:prstGeom prst="rect">
                      <a:avLst/>
                    </a:prstGeom>
                  </pic:spPr>
                </pic:pic>
              </a:graphicData>
            </a:graphic>
          </wp:inline>
        </w:drawing>
      </w:r>
    </w:p>
    <w:p>
      <w:pPr>
        <w:pStyle w:val="Normal"/>
        <w:spacing w:before="0" w:after="283"/>
        <w:jc w:val="left"/>
        <w:rPr>
          <w:rFonts w:ascii="Liberation Sans" w:hAnsi="Liberation Sans"/>
        </w:rPr>
      </w:pPr>
      <w:r>
        <w:rPr>
          <w:rFonts w:ascii="Liberation Sans" w:hAnsi="Liberation Sans"/>
        </w:rPr>
      </w:r>
    </w:p>
    <w:p>
      <w:pPr>
        <w:pStyle w:val="TextBody"/>
        <w:jc w:val="left"/>
        <w:rPr>
          <w:rFonts w:ascii="Liberation Sans" w:hAnsi="Liberation Sans"/>
        </w:rPr>
      </w:pPr>
      <w:r>
        <w:rPr>
          <w:rFonts w:ascii="Liberation Sans" w:hAnsi="Liberation Sans"/>
        </w:rPr>
        <w:t>I was intrigued so I asked the young girl to tell me about what she had done. She spoke, as if disturbed that I should need to ask, and said, "Well, YOU said make twenty in any way we like. So here are ..." (she started to count the number of numbers that she had written down) "... fourteen numbers and ... there's the six that I did not write, that makes twenty." There was a pause and then she added, "I've written them this way so that when you put a mirror next to them you can see what the numbers are."</w:t>
      </w:r>
    </w:p>
    <w:p>
      <w:pPr>
        <w:pStyle w:val="TextBody"/>
        <w:jc w:val="left"/>
        <w:rPr>
          <w:rFonts w:ascii="Liberation Sans" w:hAnsi="Liberation Sans"/>
        </w:rPr>
      </w:pPr>
      <w:r>
        <w:rPr>
          <w:rFonts w:ascii="Liberation Sans" w:hAnsi="Liberation Sans"/>
        </w:rPr>
        <w:t xml:space="preserve">It's so easy and tempting to draw conclusions about what we see, viewing it as a piece of maths that an older and more experienced child might present, therefore judging it to be very poor. It could have been assessed as a piece of work illustrating that the pupil has no idea about writing numbers or of performing a calculation that would give </w:t>
      </w:r>
      <w:bookmarkStart w:id="0" w:name="MathJax-Element-1-Frame"/>
      <w:bookmarkStart w:id="1" w:name="MathJax-Span-1"/>
      <w:bookmarkStart w:id="2" w:name="MathJax-Span-2"/>
      <w:bookmarkStart w:id="3" w:name="MathJax-Span-3"/>
      <w:bookmarkEnd w:id="0"/>
      <w:bookmarkEnd w:id="1"/>
      <w:bookmarkEnd w:id="2"/>
      <w:bookmarkEnd w:id="3"/>
      <w:r>
        <w:rPr>
          <w:rFonts w:ascii="MathJax Main" w:hAnsi="MathJax Main"/>
        </w:rPr>
        <w:t>20</w:t>
      </w:r>
      <w:r>
        <w:rPr>
          <w:rFonts w:ascii="Liberation Sans" w:hAnsi="Liberation Sans"/>
        </w:rPr>
        <w:t xml:space="preserve"> as an answer.</w:t>
      </w:r>
    </w:p>
    <w:p>
      <w:pPr>
        <w:pStyle w:val="TextBody"/>
        <w:jc w:val="left"/>
        <w:rPr/>
      </w:pPr>
      <w:r>
        <w:rPr>
          <w:rFonts w:ascii="Liberation Sans" w:hAnsi="Liberation Sans"/>
        </w:rPr>
        <w:t xml:space="preserve">So, I'm pleading for caution on making assumptions, when looking at a child's representation of the mathematics they have done. We need to consider the child's ability to communicate (and the opportunities we provide for communication), the child's understanding of his or her own mathematics and to bear in mind that this may not necessarily, at this stage, be totally in line with 'school maths'. </w:t>
      </w:r>
      <w:r>
        <w:rPr>
          <w:rFonts w:ascii="Liberation Sans" w:hAnsi="Liberation Sans"/>
          <w:i/>
        </w:rPr>
        <w:t>Children's Mathematics; Making Marks, Making Meaning</w:t>
      </w:r>
      <w:r>
        <w:rPr>
          <w:rFonts w:ascii="Liberation Sans" w:hAnsi="Liberation Sans"/>
        </w:rPr>
        <w:t xml:space="preserve"> by Worthington and Carruthers (2006) can help us to broaden our understanding of these issues. (This can be purchased from Abebooks from </w:t>
      </w:r>
      <w:hyperlink r:id="rId4">
        <w:r>
          <w:rPr>
            <w:rStyle w:val="InternetLink"/>
            <w:rFonts w:ascii="Liberation Sans" w:hAnsi="Liberation Sans"/>
          </w:rPr>
          <w:t>here</w:t>
        </w:r>
      </w:hyperlink>
      <w:r>
        <w:rPr>
          <w:rFonts w:ascii="Liberation Sans" w:hAnsi="Liberation Sans"/>
        </w:rPr>
        <w:t>.)</w:t>
      </w:r>
    </w:p>
    <w:p>
      <w:pPr>
        <w:pStyle w:val="TextBody"/>
        <w:spacing w:before="0" w:after="0"/>
        <w:jc w:val="left"/>
        <w:rPr>
          <w:rFonts w:ascii="Liberation Sans" w:hAnsi="Liberation Sans"/>
        </w:rPr>
      </w:pPr>
      <w:r>
        <w:rPr>
          <w:rFonts w:ascii="Liberation Sans" w:hAnsi="Liberation Sans"/>
        </w:rPr>
      </w:r>
    </w:p>
    <w:p>
      <w:pPr>
        <w:pStyle w:val="TextBody"/>
        <w:jc w:val="left"/>
        <w:rPr>
          <w:rFonts w:ascii="Liberation Sans" w:hAnsi="Liberation Sans"/>
        </w:rPr>
      </w:pPr>
      <w:r>
        <w:rPr>
          <w:rFonts w:ascii="Liberation Sans" w:hAnsi="Liberation Sans"/>
        </w:rPr>
        <w:t>I believe there are quite a few good reasons for pupils to record their work when using and applying mathematics, and these are not just about satisfying adults that the work has been carried out! These are (in no particular order):</w:t>
      </w:r>
    </w:p>
    <w:p>
      <w:pPr>
        <w:pStyle w:val="TextBody"/>
        <w:numPr>
          <w:ilvl w:val="0"/>
          <w:numId w:val="1"/>
        </w:numPr>
        <w:tabs>
          <w:tab w:val="left" w:pos="0" w:leader="none"/>
        </w:tabs>
        <w:spacing w:before="0" w:after="0"/>
        <w:ind w:left="707" w:hanging="283"/>
        <w:jc w:val="left"/>
        <w:rPr>
          <w:rFonts w:ascii="Liberation Sans" w:hAnsi="Liberation Sans"/>
        </w:rPr>
      </w:pPr>
      <w:r>
        <w:rPr>
          <w:rFonts w:ascii="Liberation Sans" w:hAnsi="Liberation Sans"/>
        </w:rPr>
        <w:t>If pupils leave their work - to go to toilet, lunch, sharpen a pencil etc. they'll know where they've got to on return.</w:t>
      </w:r>
    </w:p>
    <w:p>
      <w:pPr>
        <w:pStyle w:val="TextBody"/>
        <w:numPr>
          <w:ilvl w:val="0"/>
          <w:numId w:val="1"/>
        </w:numPr>
        <w:tabs>
          <w:tab w:val="left" w:pos="0" w:leader="none"/>
        </w:tabs>
        <w:spacing w:before="0" w:after="0"/>
        <w:ind w:left="707" w:hanging="283"/>
        <w:jc w:val="left"/>
        <w:rPr>
          <w:rFonts w:ascii="Liberation Sans" w:hAnsi="Liberation Sans"/>
        </w:rPr>
      </w:pPr>
      <w:r>
        <w:rPr>
          <w:rFonts w:ascii="Liberation Sans" w:hAnsi="Liberation Sans"/>
        </w:rPr>
        <w:t>To help the child express his or her OWN thinking.</w:t>
      </w:r>
    </w:p>
    <w:p>
      <w:pPr>
        <w:pStyle w:val="TextBody"/>
        <w:numPr>
          <w:ilvl w:val="0"/>
          <w:numId w:val="1"/>
        </w:numPr>
        <w:tabs>
          <w:tab w:val="left" w:pos="0" w:leader="none"/>
        </w:tabs>
        <w:spacing w:before="0" w:after="0"/>
        <w:ind w:left="707" w:hanging="283"/>
        <w:jc w:val="left"/>
        <w:rPr>
          <w:rFonts w:ascii="Liberation Sans" w:hAnsi="Liberation Sans"/>
        </w:rPr>
      </w:pPr>
      <w:r>
        <w:rPr>
          <w:rFonts w:ascii="Liberation Sans" w:hAnsi="Liberation Sans"/>
        </w:rPr>
        <w:t>To be able to see if - when applicable - he or she is doing unnecessary repeats.</w:t>
      </w:r>
    </w:p>
    <w:p>
      <w:pPr>
        <w:pStyle w:val="TextBody"/>
        <w:numPr>
          <w:ilvl w:val="0"/>
          <w:numId w:val="1"/>
        </w:numPr>
        <w:tabs>
          <w:tab w:val="left" w:pos="0" w:leader="none"/>
        </w:tabs>
        <w:spacing w:before="0" w:after="0"/>
        <w:ind w:left="707" w:hanging="283"/>
        <w:jc w:val="left"/>
        <w:rPr>
          <w:rFonts w:ascii="Liberation Sans" w:hAnsi="Liberation Sans"/>
        </w:rPr>
      </w:pPr>
      <w:r>
        <w:rPr>
          <w:rFonts w:ascii="Liberation Sans" w:hAnsi="Liberation Sans"/>
        </w:rPr>
        <w:t>To give pupils opportunities to see any patterns that may be evolving.</w:t>
      </w:r>
    </w:p>
    <w:p>
      <w:pPr>
        <w:pStyle w:val="TextBody"/>
        <w:numPr>
          <w:ilvl w:val="0"/>
          <w:numId w:val="1"/>
        </w:numPr>
        <w:tabs>
          <w:tab w:val="left" w:pos="0" w:leader="none"/>
        </w:tabs>
        <w:spacing w:before="0" w:after="0"/>
        <w:ind w:left="707" w:hanging="283"/>
        <w:jc w:val="left"/>
        <w:rPr/>
      </w:pPr>
      <w:r>
        <w:rPr>
          <w:rFonts w:ascii="Liberation Sans" w:hAnsi="Liberation Sans"/>
        </w:rPr>
        <w:t xml:space="preserve">To get some extra idea of further work they could do - ones in a sequence that they have missed out - this might be applicable, for example, in </w:t>
      </w:r>
      <w:hyperlink r:id="rId5">
        <w:r>
          <w:rPr>
            <w:rStyle w:val="InternetLink"/>
            <w:rFonts w:ascii="Liberation Sans" w:hAnsi="Liberation Sans"/>
          </w:rPr>
          <w:t>Red Express Train</w:t>
        </w:r>
      </w:hyperlink>
      <w:r>
        <w:rPr>
          <w:rFonts w:ascii="Liberation Sans" w:hAnsi="Liberation Sans"/>
        </w:rPr>
        <w:t xml:space="preserve"> and </w:t>
      </w:r>
      <w:hyperlink r:id="rId6">
        <w:r>
          <w:rPr>
            <w:rStyle w:val="InternetLink"/>
            <w:rFonts w:ascii="Liberation Sans" w:hAnsi="Liberation Sans"/>
          </w:rPr>
          <w:t>Tri.'s</w:t>
        </w:r>
      </w:hyperlink>
      <w:r>
        <w:rPr>
          <w:rFonts w:ascii="Liberation Sans" w:hAnsi="Liberation Sans"/>
        </w:rPr>
        <w:t xml:space="preserve"> .</w:t>
      </w:r>
    </w:p>
    <w:p>
      <w:pPr>
        <w:pStyle w:val="TextBody"/>
        <w:numPr>
          <w:ilvl w:val="0"/>
          <w:numId w:val="1"/>
        </w:numPr>
        <w:tabs>
          <w:tab w:val="left" w:pos="0" w:leader="none"/>
        </w:tabs>
        <w:spacing w:before="0" w:after="0"/>
        <w:ind w:left="707" w:hanging="283"/>
        <w:jc w:val="left"/>
        <w:rPr>
          <w:rFonts w:ascii="Liberation Sans" w:hAnsi="Liberation Sans"/>
        </w:rPr>
      </w:pPr>
      <w:r>
        <w:rPr>
          <w:rFonts w:ascii="Liberation Sans" w:hAnsi="Liberation Sans"/>
        </w:rPr>
        <w:t>To help them get into a system for working further.</w:t>
      </w:r>
    </w:p>
    <w:p>
      <w:pPr>
        <w:pStyle w:val="TextBody"/>
        <w:numPr>
          <w:ilvl w:val="0"/>
          <w:numId w:val="1"/>
        </w:numPr>
        <w:tabs>
          <w:tab w:val="left" w:pos="0" w:leader="none"/>
        </w:tabs>
        <w:spacing w:before="0" w:after="0"/>
        <w:ind w:left="707" w:hanging="283"/>
        <w:jc w:val="left"/>
        <w:rPr>
          <w:rFonts w:ascii="Liberation Sans" w:hAnsi="Liberation Sans"/>
        </w:rPr>
      </w:pPr>
      <w:r>
        <w:rPr>
          <w:rFonts w:ascii="Liberation Sans" w:hAnsi="Liberation Sans"/>
        </w:rPr>
        <w:t>To aid working with a friend, sharing aspects of the work and discussing the progress so far.</w:t>
      </w:r>
    </w:p>
    <w:p>
      <w:pPr>
        <w:pStyle w:val="TextBody"/>
        <w:numPr>
          <w:ilvl w:val="0"/>
          <w:numId w:val="1"/>
        </w:numPr>
        <w:tabs>
          <w:tab w:val="left" w:pos="0" w:leader="none"/>
        </w:tabs>
        <w:spacing w:before="0" w:after="0"/>
        <w:ind w:left="707" w:hanging="283"/>
        <w:jc w:val="left"/>
        <w:rPr>
          <w:rFonts w:ascii="Liberation Sans" w:hAnsi="Liberation Sans"/>
        </w:rPr>
      </w:pPr>
      <w:r>
        <w:rPr>
          <w:rFonts w:ascii="Liberation Sans" w:hAnsi="Liberation Sans"/>
        </w:rPr>
        <w:t>To guide conversation and explanation with classroom adults.</w:t>
      </w:r>
    </w:p>
    <w:p>
      <w:pPr>
        <w:pStyle w:val="TextBody"/>
        <w:numPr>
          <w:ilvl w:val="0"/>
          <w:numId w:val="1"/>
        </w:numPr>
        <w:tabs>
          <w:tab w:val="left" w:pos="0" w:leader="none"/>
        </w:tabs>
        <w:spacing w:before="0" w:after="0"/>
        <w:ind w:left="707" w:hanging="283"/>
        <w:jc w:val="left"/>
        <w:rPr>
          <w:rFonts w:ascii="Liberation Sans" w:hAnsi="Liberation Sans"/>
        </w:rPr>
      </w:pPr>
      <w:r>
        <w:rPr>
          <w:rFonts w:ascii="Liberation Sans" w:hAnsi="Liberation Sans"/>
        </w:rPr>
        <w:t>To lead, later, to explaining to a group or the whole class what they have been doing.</w:t>
      </w:r>
    </w:p>
    <w:p>
      <w:pPr>
        <w:pStyle w:val="TextBody"/>
        <w:numPr>
          <w:ilvl w:val="0"/>
          <w:numId w:val="1"/>
        </w:numPr>
        <w:tabs>
          <w:tab w:val="left" w:pos="0" w:leader="none"/>
        </w:tabs>
        <w:ind w:left="707" w:hanging="283"/>
        <w:jc w:val="left"/>
        <w:rPr>
          <w:rFonts w:ascii="Liberation Sans" w:hAnsi="Liberation Sans"/>
        </w:rPr>
      </w:pPr>
      <w:r>
        <w:rPr>
          <w:rFonts w:ascii="Liberation Sans" w:hAnsi="Liberation Sans"/>
        </w:rPr>
        <w:t>To lead, much later on, to being able to present some work to an adult, leave it with them and the adult fully understand what has been carried out - even in a test or examination!</w:t>
      </w:r>
    </w:p>
    <w:p>
      <w:pPr>
        <w:pStyle w:val="TextBody"/>
        <w:jc w:val="left"/>
        <w:rPr>
          <w:rFonts w:ascii="Liberation Sans" w:hAnsi="Liberation Sans"/>
        </w:rPr>
      </w:pPr>
      <w:r>
        <w:rPr>
          <w:rFonts w:ascii="Liberation Sans" w:hAnsi="Liberation Sans"/>
        </w:rPr>
        <w:t>When the pupils are presenting their ideas on paper then there is a need for respect rather than to be in a hurry to get 'it' to conform to 'school maths'.</w:t>
      </w:r>
    </w:p>
    <w:p>
      <w:pPr>
        <w:pStyle w:val="TextBody"/>
        <w:jc w:val="left"/>
        <w:rPr>
          <w:rFonts w:ascii="Liberation Sans" w:hAnsi="Liberation Sans"/>
        </w:rPr>
      </w:pPr>
      <w:r>
        <w:rPr>
          <w:rFonts w:ascii="Liberation Sans" w:hAnsi="Liberation Sans"/>
        </w:rPr>
        <w:t>I was visiting a classroom and went to a 9-year old boy and this is what I saw:</w:t>
      </w:r>
    </w:p>
    <w:p>
      <w:pPr>
        <w:pStyle w:val="TextBody"/>
        <w:jc w:val="center"/>
        <w:rPr>
          <w:rFonts w:ascii="Liberation Sans" w:hAnsi="Liberation Sans"/>
        </w:rPr>
      </w:pPr>
      <w:r>
        <w:rPr>
          <w:rFonts w:ascii="Liberation Sans" w:hAnsi="Liberation Sans"/>
        </w:rPr>
        <w:drawing>
          <wp:inline distT="0" distB="0" distL="0" distR="0">
            <wp:extent cx="2552700" cy="20383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7"/>
                    <a:stretch>
                      <a:fillRect/>
                    </a:stretch>
                  </pic:blipFill>
                  <pic:spPr bwMode="auto">
                    <a:xfrm>
                      <a:off x="0" y="0"/>
                      <a:ext cx="2552700" cy="2038350"/>
                    </a:xfrm>
                    <a:prstGeom prst="rect">
                      <a:avLst/>
                    </a:prstGeom>
                  </pic:spPr>
                </pic:pic>
              </a:graphicData>
            </a:graphic>
          </wp:inline>
        </w:drawing>
      </w:r>
    </w:p>
    <w:p>
      <w:pPr>
        <w:pStyle w:val="TextBody"/>
        <w:jc w:val="left"/>
        <w:rPr>
          <w:rFonts w:ascii="Liberation Sans" w:hAnsi="Liberation Sans"/>
        </w:rPr>
      </w:pPr>
      <w:r>
        <w:rPr>
          <w:rFonts w:ascii="Liberation Sans" w:hAnsi="Liberation Sans"/>
        </w:rPr>
        <w:t>He was just about to start the next one, from the work card from which he was copying his work, when I asked him to tell me how he was doing the calculations. Very confidently he explained the last one saying, "Seven and eight are fifteen so I put down the five and carry the one", (showing me where the little one was). "Four, five, one and five make fifteen." (He pointed to the four and five under the tens, the one he carried and the five that was in his answer for the units.) Now I realised that, considering what he said in isolation, it was quite correct.</w:t>
      </w:r>
    </w:p>
    <w:p>
      <w:pPr>
        <w:pStyle w:val="TextBody"/>
        <w:jc w:val="left"/>
        <w:rPr>
          <w:rFonts w:ascii="Liberation Sans" w:hAnsi="Liberation Sans"/>
        </w:rPr>
      </w:pPr>
      <w:r>
        <w:rPr>
          <w:rFonts w:ascii="Liberation Sans" w:hAnsi="Liberation Sans"/>
        </w:rPr>
        <w:t>I have re-lived this with a number of teachers and they have suggested that the boy had all kinds of problems - lack of understanding of place value, a real need for some counters, not ready for these kinds of sums yet etc.</w:t>
      </w:r>
    </w:p>
    <w:p>
      <w:pPr>
        <w:pStyle w:val="TextBody"/>
        <w:spacing w:before="0" w:after="0"/>
        <w:jc w:val="left"/>
        <w:rPr>
          <w:rFonts w:ascii="Liberation Sans" w:hAnsi="Liberation Sans"/>
        </w:rPr>
      </w:pPr>
      <w:r>
        <w:rPr>
          <w:rFonts w:ascii="Liberation Sans" w:hAnsi="Liberation Sans"/>
        </w:rPr>
        <w:t>I had decided to find out more about his thinking so I pointed with my wide finger to the T U and asked him what they said. "Tens and Units," he said in a voice showing that he was anxious to get on.</w:t>
      </w:r>
    </w:p>
    <w:p>
      <w:pPr>
        <w:pStyle w:val="TextBody"/>
        <w:spacing w:before="0" w:after="0"/>
        <w:jc w:val="left"/>
        <w:rPr>
          <w:rFonts w:ascii="Liberation Sans" w:hAnsi="Liberation Sans"/>
        </w:rPr>
      </w:pPr>
      <w:r>
        <w:rPr>
          <w:rFonts w:ascii="Liberation Sans" w:hAnsi="Liberation Sans"/>
        </w:rPr>
        <w:t xml:space="preserve">"What about these?" pointing to the </w:t>
      </w:r>
      <w:bookmarkStart w:id="4" w:name="MathJax-Element-2-Frame"/>
      <w:bookmarkStart w:id="5" w:name="MathJax-Span-4"/>
      <w:bookmarkStart w:id="6" w:name="MathJax-Span-5"/>
      <w:bookmarkStart w:id="7" w:name="MathJax-Span-6"/>
      <w:bookmarkEnd w:id="4"/>
      <w:bookmarkEnd w:id="5"/>
      <w:bookmarkEnd w:id="6"/>
      <w:bookmarkEnd w:id="7"/>
      <w:r>
        <w:rPr>
          <w:rFonts w:ascii="MathJax Main" w:hAnsi="MathJax Main"/>
        </w:rPr>
        <w:t>58</w:t>
      </w:r>
      <w:r>
        <w:rPr>
          <w:rFonts w:ascii="Liberation Sans" w:hAnsi="Liberation Sans"/>
        </w:rPr>
        <w:t>.</w:t>
      </w:r>
    </w:p>
    <w:p>
      <w:pPr>
        <w:pStyle w:val="TextBody"/>
        <w:spacing w:before="0" w:after="0"/>
        <w:jc w:val="left"/>
        <w:rPr>
          <w:rFonts w:ascii="Liberation Sans" w:hAnsi="Liberation Sans"/>
        </w:rPr>
      </w:pPr>
      <w:r>
        <w:rPr>
          <w:rFonts w:ascii="Liberation Sans" w:hAnsi="Liberation Sans"/>
        </w:rPr>
        <w:t>"That's a five and an eight!"</w:t>
      </w:r>
    </w:p>
    <w:p>
      <w:pPr>
        <w:pStyle w:val="TextBody"/>
        <w:spacing w:before="0" w:after="0"/>
        <w:jc w:val="left"/>
        <w:rPr>
          <w:rFonts w:ascii="Liberation Sans" w:hAnsi="Liberation Sans"/>
        </w:rPr>
      </w:pPr>
      <w:r>
        <w:rPr>
          <w:rFonts w:ascii="Liberation Sans" w:hAnsi="Liberation Sans"/>
        </w:rPr>
        <w:t xml:space="preserve">So I decided this was what I wanted to pursue. I wondered if he could say something different if they were written elsewhere so I wrote on a nearby paper, </w:t>
      </w:r>
      <w:bookmarkStart w:id="8" w:name="MathJax-Element-2-Frame1"/>
      <w:bookmarkStart w:id="9" w:name="MathJax-Span-41"/>
      <w:bookmarkStart w:id="10" w:name="MathJax-Span-51"/>
      <w:bookmarkStart w:id="11" w:name="MathJax-Span-61"/>
      <w:bookmarkEnd w:id="8"/>
      <w:bookmarkEnd w:id="9"/>
      <w:bookmarkEnd w:id="10"/>
      <w:bookmarkEnd w:id="11"/>
      <w:r>
        <w:rPr>
          <w:rFonts w:ascii="MathJax Main" w:hAnsi="MathJax Main"/>
        </w:rPr>
        <w:t>58</w:t>
      </w:r>
      <w:r>
        <w:rPr>
          <w:rFonts w:ascii="Liberation Sans" w:hAnsi="Liberation Sans"/>
        </w:rPr>
        <w:t>.</w:t>
      </w:r>
    </w:p>
    <w:p>
      <w:pPr>
        <w:pStyle w:val="TextBody"/>
        <w:spacing w:before="0" w:after="0"/>
        <w:jc w:val="left"/>
        <w:rPr>
          <w:rFonts w:ascii="Liberation Sans" w:hAnsi="Liberation Sans"/>
        </w:rPr>
      </w:pPr>
      <w:r>
        <w:rPr>
          <w:rFonts w:ascii="Liberation Sans" w:hAnsi="Liberation Sans"/>
        </w:rPr>
        <w:t>"That's another five and eight," he said rather impatiently - he was picking up his pencil to carry on.</w:t>
      </w:r>
    </w:p>
    <w:p>
      <w:pPr>
        <w:pStyle w:val="TextBody"/>
        <w:spacing w:before="0" w:after="0"/>
        <w:jc w:val="left"/>
        <w:rPr>
          <w:rFonts w:ascii="Liberation Sans" w:hAnsi="Liberation Sans"/>
        </w:rPr>
      </w:pPr>
      <w:r>
        <w:rPr>
          <w:rFonts w:ascii="Liberation Sans" w:hAnsi="Liberation Sans"/>
        </w:rPr>
        <w:t xml:space="preserve">So I tried to think of another situation where he might naturally come across the </w:t>
      </w:r>
      <w:bookmarkStart w:id="12" w:name="MathJax-Element-2-Frame2"/>
      <w:bookmarkStart w:id="13" w:name="MathJax-Span-42"/>
      <w:bookmarkStart w:id="14" w:name="MathJax-Span-52"/>
      <w:bookmarkStart w:id="15" w:name="MathJax-Span-62"/>
      <w:bookmarkEnd w:id="12"/>
      <w:bookmarkEnd w:id="13"/>
      <w:bookmarkEnd w:id="14"/>
      <w:bookmarkEnd w:id="15"/>
      <w:r>
        <w:rPr>
          <w:rFonts w:ascii="MathJax Main" w:hAnsi="MathJax Main"/>
        </w:rPr>
        <w:t>58</w:t>
      </w:r>
      <w:r>
        <w:rPr>
          <w:rFonts w:ascii="Liberation Sans" w:hAnsi="Liberation Sans"/>
        </w:rPr>
        <w:t>.</w:t>
      </w:r>
    </w:p>
    <w:p>
      <w:pPr>
        <w:pStyle w:val="TextBody"/>
        <w:spacing w:before="0" w:after="0"/>
        <w:jc w:val="left"/>
        <w:rPr>
          <w:rFonts w:ascii="Liberation Sans" w:hAnsi="Liberation Sans"/>
        </w:rPr>
      </w:pPr>
      <w:r>
        <w:rPr>
          <w:rFonts w:ascii="Liberation Sans" w:hAnsi="Liberation Sans"/>
        </w:rPr>
        <w:t>I thought of buses (since we were in a big town) so I started asking, "Suppose a bus went by and it ...". He interrupted me by saying, "It'd be a fifty-eight."</w:t>
      </w:r>
    </w:p>
    <w:p>
      <w:pPr>
        <w:pStyle w:val="TextBody"/>
        <w:spacing w:before="0" w:after="0"/>
        <w:jc w:val="left"/>
        <w:rPr>
          <w:rFonts w:ascii="Liberation Sans" w:hAnsi="Liberation Sans"/>
        </w:rPr>
      </w:pPr>
      <w:r>
        <w:rPr>
          <w:rFonts w:ascii="Liberation Sans" w:hAnsi="Liberation Sans"/>
        </w:rPr>
        <w:t>"Could we pretend that this (pointing to his sum) is a fifty-eight as well?"</w:t>
      </w:r>
    </w:p>
    <w:p>
      <w:pPr>
        <w:pStyle w:val="TextBody"/>
        <w:spacing w:before="0" w:after="0"/>
        <w:jc w:val="left"/>
        <w:rPr>
          <w:rFonts w:ascii="Liberation Sans" w:hAnsi="Liberation Sans"/>
        </w:rPr>
      </w:pPr>
      <w:r>
        <w:rPr>
          <w:rFonts w:ascii="Liberation Sans" w:hAnsi="Liberation Sans"/>
        </w:rPr>
        <w:t>"Yes, if you like," he said in a very nonchalant voice.</w:t>
      </w:r>
    </w:p>
    <w:p>
      <w:pPr>
        <w:pStyle w:val="TextBody"/>
        <w:spacing w:before="0" w:after="0"/>
        <w:jc w:val="left"/>
        <w:rPr>
          <w:rFonts w:ascii="Liberation Sans" w:hAnsi="Liberation Sans"/>
        </w:rPr>
      </w:pPr>
      <w:r>
        <w:rPr>
          <w:rFonts w:ascii="Liberation Sans" w:hAnsi="Liberation Sans"/>
        </w:rPr>
        <w:t>"What would this be?" pointing to the forty-seven.</w:t>
      </w:r>
    </w:p>
    <w:p>
      <w:pPr>
        <w:pStyle w:val="TextBody"/>
        <w:spacing w:before="0" w:after="0"/>
        <w:jc w:val="left"/>
        <w:rPr>
          <w:rFonts w:ascii="Liberation Sans" w:hAnsi="Liberation Sans"/>
        </w:rPr>
      </w:pPr>
      <w:r>
        <w:rPr>
          <w:rFonts w:ascii="Liberation Sans" w:hAnsi="Liberation Sans"/>
        </w:rPr>
        <w:t>"It'll be forty-seven. Do you want me to add it?" he asked.</w:t>
      </w:r>
    </w:p>
    <w:p>
      <w:pPr>
        <w:pStyle w:val="TextBody"/>
        <w:spacing w:before="0" w:after="0"/>
        <w:jc w:val="left"/>
        <w:rPr>
          <w:rFonts w:ascii="Liberation Sans" w:hAnsi="Liberation Sans"/>
        </w:rPr>
      </w:pPr>
      <w:r>
        <w:rPr>
          <w:rFonts w:ascii="Liberation Sans" w:hAnsi="Liberation Sans"/>
        </w:rPr>
        <w:t>"Yes please."</w:t>
      </w:r>
    </w:p>
    <w:p>
      <w:pPr>
        <w:pStyle w:val="TextBody"/>
        <w:spacing w:before="0" w:after="0"/>
        <w:jc w:val="left"/>
        <w:rPr>
          <w:rFonts w:ascii="Liberation Sans" w:hAnsi="Liberation Sans"/>
        </w:rPr>
      </w:pPr>
      <w:r>
        <w:rPr>
          <w:rFonts w:ascii="Liberation Sans" w:hAnsi="Liberation Sans"/>
        </w:rPr>
        <w:t>Then, as quickly as it can be said, he replied, "Forty and fifty is ninety, seven and eight is fifteen. The answer's one hundred and five."</w:t>
      </w:r>
    </w:p>
    <w:p>
      <w:pPr>
        <w:pStyle w:val="TextBody"/>
        <w:spacing w:before="0" w:after="0"/>
        <w:jc w:val="left"/>
        <w:rPr>
          <w:rFonts w:ascii="Liberation Sans" w:hAnsi="Liberation Sans"/>
        </w:rPr>
      </w:pPr>
      <w:r>
        <w:rPr>
          <w:rFonts w:ascii="Liberation Sans" w:hAnsi="Liberation Sans"/>
        </w:rPr>
        <w:t>"Yes!" I said, "Well done!"</w:t>
      </w:r>
    </w:p>
    <w:p>
      <w:pPr>
        <w:pStyle w:val="TextBody"/>
        <w:spacing w:before="0" w:after="0"/>
        <w:jc w:val="left"/>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What a surprise when, what seemed like an inability to deal with these additions, turns out to be evidence of a teacher not establishing a relationship between his mental maths ability and the formal calculations that were expected.</w:t>
      </w:r>
    </w:p>
    <w:p>
      <w:pPr>
        <w:pStyle w:val="TextBody"/>
        <w:spacing w:before="0" w:after="0"/>
        <w:jc w:val="center"/>
        <w:rPr>
          <w:rFonts w:ascii="Liberation Sans" w:hAnsi="Liberation Sans"/>
        </w:rPr>
      </w:pPr>
      <w:r>
        <w:rPr>
          <w:rFonts w:ascii="Liberation Sans" w:hAnsi="Liberation Sans"/>
        </w:rPr>
        <w:t>---------------------------------------</w:t>
      </w:r>
    </w:p>
    <w:p>
      <w:pPr>
        <w:pStyle w:val="TextBody"/>
        <w:spacing w:before="0" w:after="0"/>
        <w:jc w:val="left"/>
        <w:rPr>
          <w:rFonts w:ascii="Liberation Sans" w:hAnsi="Liberation Sans"/>
        </w:rPr>
      </w:pPr>
      <w:r>
        <w:rPr>
          <w:rFonts w:ascii="Liberation Sans" w:hAnsi="Liberation Sans"/>
        </w:rPr>
        <w:t>Can we therefore help the children in our care to feel confident about their own maths and help them gradually to make the links to what is seen as 'school maths' written work? Their thoughts and ideas need to be valued and we should allow them to have ownership of their mathematical ideas and understanding.</w:t>
      </w:r>
    </w:p>
    <w:sectPr>
      <w:headerReference w:type="default" r:id="rId8"/>
      <w:footerReference w:type="default" r:id="rId9"/>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MathJax Main">
    <w:charset w:val="01"/>
    <w:family w:val="auto"/>
    <w:pitch w:val="default"/>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6296</w:t>
    </w:r>
  </w:p>
  <w:p>
    <w:pPr>
      <w:pStyle w:val="HeaderFooter"/>
      <w:rPr/>
    </w:pPr>
    <w:r>
      <w:rPr>
        <w:sz w:val="18"/>
        <w:szCs w:val="18"/>
      </w:rPr>
      <w:t xml:space="preserve">Published </w:t>
    </w:r>
    <w:r>
      <w:rPr>
        <w:sz w:val="18"/>
        <w:szCs w:val="18"/>
      </w:rPr>
      <w:t>February 2011</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4">
              <wp:simplePos x="0" y="0"/>
              <wp:positionH relativeFrom="column">
                <wp:posOffset>-149860</wp:posOffset>
              </wp:positionH>
              <wp:positionV relativeFrom="paragraph">
                <wp:posOffset>-542290</wp:posOffset>
              </wp:positionV>
              <wp:extent cx="6596380" cy="756920"/>
              <wp:effectExtent l="0" t="0" r="0" b="0"/>
              <wp:wrapTopAndBottom/>
              <wp:docPr id="3"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7">
              <wp:simplePos x="0" y="0"/>
              <wp:positionH relativeFrom="column">
                <wp:posOffset>1720215</wp:posOffset>
              </wp:positionH>
              <wp:positionV relativeFrom="paragraph">
                <wp:posOffset>-489585</wp:posOffset>
              </wp:positionV>
              <wp:extent cx="4602480" cy="641985"/>
              <wp:effectExtent l="0" t="0" r="0" b="0"/>
              <wp:wrapNone/>
              <wp:docPr id="4" name="Shape2"/>
              <a:graphic xmlns:a="http://schemas.openxmlformats.org/drawingml/2006/main">
                <a:graphicData uri="http://schemas.microsoft.com/office/word/2010/wordprocessingShape">
                  <wps:wsp>
                    <wps:cNvSpPr/>
                    <wps:spPr>
                      <a:xfrm>
                        <a:off x="0" y="0"/>
                        <a:ext cx="4601880" cy="64152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sz w:val="36"/>
                              <w:szCs w:val="36"/>
                            </w:rPr>
                          </w:pPr>
                          <w:r>
                            <w:rPr>
                              <w:rFonts w:ascii="Tahoma" w:hAnsi="Tahoma"/>
                              <w:b/>
                              <w:bCs/>
                              <w:color w:val="FFFFFF"/>
                              <w:sz w:val="36"/>
                              <w:szCs w:val="36"/>
                            </w:rPr>
                            <w:t>Children's Mathematical Writing</w:t>
                          </w:r>
                        </w:p>
                        <w:p>
                          <w:pPr>
                            <w:pStyle w:val="FrameContents"/>
                            <w:overflowPunct w:val="false"/>
                            <w:bidi w:val="0"/>
                            <w:jc w:val="right"/>
                            <w:rPr/>
                          </w:pPr>
                          <w:r>
                            <w:rPr>
                              <w:rFonts w:ascii="Tahoma" w:hAnsi="Tahoma"/>
                              <w:b/>
                              <w:bCs/>
                              <w:color w:val="FFFFFF"/>
                              <w:sz w:val="20"/>
                              <w:szCs w:val="20"/>
                            </w:rPr>
                            <w:t>By Bernard Bagnall</w:t>
                          </w:r>
                        </w:p>
                      </w:txbxContent>
                    </wps:txbx>
                    <wps:bodyPr lIns="0" rIns="0" tIns="0" bIns="0">
                      <a:spAutoFit/>
                    </wps:bodyPr>
                  </wps:wsp>
                </a:graphicData>
              </a:graphic>
            </wp:anchor>
          </w:drawing>
        </mc:Choice>
        <mc:Fallback>
          <w:pict>
            <v:rect id="shape_0" ID="Shape2" stroked="f" style="position:absolute;margin-left:135.45pt;margin-top:-38.55pt;width:362.3pt;height:50.45pt">
              <w10:wrap type="square"/>
              <v:fill o:detectmouseclick="t" on="false"/>
              <v:stroke color="#3465a4" joinstyle="round" endcap="flat"/>
              <v:textbox>
                <w:txbxContent>
                  <w:p>
                    <w:pPr>
                      <w:pStyle w:val="Heading1"/>
                      <w:overflowPunct w:val="false"/>
                      <w:bidi w:val="0"/>
                      <w:spacing w:before="240" w:after="120"/>
                      <w:jc w:val="right"/>
                      <w:rPr>
                        <w:sz w:val="36"/>
                        <w:szCs w:val="36"/>
                      </w:rPr>
                    </w:pPr>
                    <w:r>
                      <w:rPr>
                        <w:rFonts w:ascii="Tahoma" w:hAnsi="Tahoma"/>
                        <w:b/>
                        <w:bCs/>
                        <w:color w:val="FFFFFF"/>
                        <w:sz w:val="36"/>
                        <w:szCs w:val="36"/>
                      </w:rPr>
                      <w:t>Children's Mathematical Writing</w:t>
                    </w:r>
                  </w:p>
                  <w:p>
                    <w:pPr>
                      <w:pStyle w:val="FrameContents"/>
                      <w:overflowPunct w:val="false"/>
                      <w:bidi w:val="0"/>
                      <w:jc w:val="right"/>
                      <w:rPr/>
                    </w:pPr>
                    <w:r>
                      <w:rPr>
                        <w:rFonts w:ascii="Tahoma" w:hAnsi="Tahoma"/>
                        <w:b/>
                        <w:bCs/>
                        <w:color w:val="FFFFFF"/>
                        <w:sz w:val="20"/>
                        <w:szCs w:val="20"/>
                      </w:rPr>
                      <w:t>By Bernard Bagnall</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rich.maths.org/public/viewer.php?obj_id=55&amp;part=" TargetMode="External"/><Relationship Id="rId3" Type="http://schemas.openxmlformats.org/officeDocument/2006/relationships/image" Target="media/image1.jpeg"/><Relationship Id="rId4" Type="http://schemas.openxmlformats.org/officeDocument/2006/relationships/hyperlink" Target="http://www.abebooks.co.uk/servlet/SearchResults?isbn=1412922836&amp;sortby=3&amp;sts=t&amp;x=17&amp;y=9" TargetMode="External"/><Relationship Id="rId5" Type="http://schemas.openxmlformats.org/officeDocument/2006/relationships/hyperlink" Target="http://nrich.maths.org/public/viewer.php?obj_id=147&amp;part=" TargetMode="External"/><Relationship Id="rId6" Type="http://schemas.openxmlformats.org/officeDocument/2006/relationships/hyperlink" Target="http://nrich.maths.org/public/viewer.php?obj_id=39&amp;part=" TargetMode="External"/><Relationship Id="rId7" Type="http://schemas.openxmlformats.org/officeDocument/2006/relationships/image" Target="media/image2.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
  <TotalTime>23</TotalTime>
  <Application>LibreOffice/5.4.7.2$Linux_X86_64 LibreOffice_project/40$Build-2</Application>
  <Pages>3</Pages>
  <Words>1102</Words>
  <Characters>4861</Characters>
  <CharactersWithSpaces>5913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2018-06-08T18:20:27Z</dcterms:modified>
  <cp:revision>19</cp:revision>
  <dc:subject/>
  <dc:title/>
</cp:coreProperties>
</file>