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Choose a fraction to start from.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From your chosen fraction, can you find a sequence of twists and turns that get you back to zero? Remember,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twisting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: 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10"/>
          <w:szCs w:val="1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1123950" cy="190500"/>
            <wp:effectExtent b="0" l="0" r="0" t="0"/>
            <wp:docPr id="1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and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turning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/>
        <w:drawing>
          <wp:inline distB="114300" distT="114300" distL="114300" distR="114300">
            <wp:extent cx="868200" cy="300861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8200" cy="3008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Perhaps you might like to start with a negative fraction containing a 2 as the denominator, such as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264393" cy="252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393" cy="25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or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28500" cy="25200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500" cy="25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or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39487" cy="252000"/>
            <wp:effectExtent b="0" l="0" r="0" t="0"/>
            <wp:docPr id="1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487" cy="25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find a way to get back to zero?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Try to describe an efficient strategy for disentangling any fraction of the form</w:t>
      </w:r>
    </w:p>
    <w:p w:rsidR="00000000" w:rsidDel="00000000" w:rsidP="00000000" w:rsidRDefault="00000000" w:rsidRPr="00000000" w14:paraId="00000009">
      <w:pPr>
        <w:jc w:val="center"/>
        <w:rPr>
          <w:rFonts w:ascii="Verdana" w:cs="Verdana" w:eastAsia="Verdana" w:hAnsi="Verdana"/>
          <w:color w:val="000000"/>
          <w:sz w:val="36"/>
          <w:szCs w:val="36"/>
          <w:vertAlign w:val="subscript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vertAlign w:val="superscript"/>
        </w:rPr>
        <w:drawing>
          <wp:inline distB="114300" distT="114300" distL="114300" distR="114300">
            <wp:extent cx="299113" cy="234000"/>
            <wp:effectExtent b="0" l="0" r="0" t="0"/>
            <wp:docPr id="1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113" cy="23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does this help you get back to zero from a positive fraction with 2 as the numerator, such as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84944" cy="25200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944" cy="25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or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167056" cy="252000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056" cy="25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or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167056" cy="252000"/>
            <wp:effectExtent b="0" l="0" r="0" t="0"/>
            <wp:docPr id="1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056" cy="25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?</w:t>
      </w:r>
      <w:r w:rsidDel="00000000" w:rsidR="00000000" w:rsidRPr="00000000">
        <w:rPr>
          <w:rFonts w:ascii="Verdana" w:cs="Verdana" w:eastAsia="Verdana" w:hAnsi="Verdana"/>
          <w:color w:val="000000"/>
          <w:sz w:val="32"/>
          <w:szCs w:val="32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Next, you could consider ropes that have been tangled up and have left you with a negative fraction containing a 3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 as the denominator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e.g. </w:t>
      </w:r>
      <w:r w:rsidDel="00000000" w:rsidR="00000000" w:rsidRPr="00000000">
        <w:rPr>
          <w:rFonts w:ascii="Verdana" w:cs="Verdana" w:eastAsia="Verdana" w:hAnsi="Verdana"/>
          <w:sz w:val="32"/>
          <w:szCs w:val="32"/>
          <w:highlight w:val="white"/>
          <w:vertAlign w:val="superscript"/>
        </w:rPr>
        <w:drawing>
          <wp:inline distB="114300" distT="114300" distL="114300" distR="114300">
            <wp:extent cx="257663" cy="252000"/>
            <wp:effectExtent b="0" l="0" r="0" t="0"/>
            <wp:docPr id="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663" cy="25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color w:val="000000"/>
          <w:sz w:val="32"/>
          <w:szCs w:val="32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or </w:t>
      </w:r>
      <w:r w:rsidDel="00000000" w:rsidR="00000000" w:rsidRPr="00000000">
        <w:rPr>
          <w:rFonts w:ascii="Verdana" w:cs="Verdana" w:eastAsia="Verdana" w:hAnsi="Verdana"/>
          <w:sz w:val="32"/>
          <w:szCs w:val="32"/>
          <w:highlight w:val="white"/>
          <w:vertAlign w:val="superscript"/>
        </w:rPr>
        <w:drawing>
          <wp:inline distB="114300" distT="114300" distL="114300" distR="114300">
            <wp:extent cx="333200" cy="252000"/>
            <wp:effectExtent b="0" l="0" r="0" t="0"/>
            <wp:docPr id="1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200" cy="25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color w:val="000000"/>
          <w:sz w:val="32"/>
          <w:szCs w:val="32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or </w:t>
      </w:r>
      <w:r w:rsidDel="00000000" w:rsidR="00000000" w:rsidRPr="00000000">
        <w:rPr>
          <w:rFonts w:ascii="Verdana" w:cs="Verdana" w:eastAsia="Verdana" w:hAnsi="Verdana"/>
          <w:sz w:val="32"/>
          <w:szCs w:val="32"/>
          <w:highlight w:val="white"/>
          <w:vertAlign w:val="superscript"/>
        </w:rPr>
        <w:drawing>
          <wp:inline distB="114300" distT="114300" distL="114300" distR="114300">
            <wp:extent cx="336944" cy="252000"/>
            <wp:effectExtent b="0" l="0" r="0" t="0"/>
            <wp:docPr id="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6944" cy="25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color w:val="000000"/>
          <w:sz w:val="32"/>
          <w:szCs w:val="32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Try to describe an efficient strategy for disentangling any fraction of the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center"/>
        <w:rPr>
          <w:rFonts w:ascii="Verdana" w:cs="Verdana" w:eastAsia="Verdana" w:hAnsi="Verdana"/>
          <w:color w:val="000000"/>
          <w:sz w:val="36"/>
          <w:szCs w:val="36"/>
          <w:vertAlign w:val="subscript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vertAlign w:val="superscript"/>
        </w:rPr>
        <w:drawing>
          <wp:inline distB="114300" distT="114300" distL="114300" distR="114300">
            <wp:extent cx="296400" cy="234000"/>
            <wp:effectExtent b="0" l="0" r="0" t="0"/>
            <wp:docPr id="12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400" cy="23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Verdana" w:cs="Verdana" w:eastAsia="Verdana" w:hAnsi="Verdana"/>
          <w:color w:val="000000"/>
          <w:sz w:val="36"/>
          <w:szCs w:val="36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and use this to suggest a strategy for disentangling any fraction of the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center"/>
        <w:rPr>
          <w:rFonts w:ascii="Verdana" w:cs="Verdana" w:eastAsia="Verdana" w:hAnsi="Verdana"/>
          <w:sz w:val="36"/>
          <w:szCs w:val="36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vertAlign w:val="superscript"/>
        </w:rPr>
        <w:drawing>
          <wp:inline distB="114300" distT="114300" distL="114300" distR="114300">
            <wp:extent cx="97500" cy="234000"/>
            <wp:effectExtent b="0" l="0" r="0" t="0"/>
            <wp:docPr id="8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500" cy="23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rFonts w:ascii="Verdana" w:cs="Verdana" w:eastAsia="Verdana" w:hAnsi="Verdana"/>
          <w:sz w:val="36"/>
          <w:szCs w:val="3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Next, you could consider ropes that have been tangled up and have left you with negative fractions containing 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4,5,6…as the denominator, or positive fractions containing 4,5,6… as the numerator. 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vertAlign w:val="baseline"/>
          <w:rtl w:val="0"/>
        </w:rPr>
        <w:t xml:space="preserve">Can you develop a strategy for disentangling any tangled ropes, irrespective of the fraction you have ended up with?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21" w:type="default"/>
      <w:headerReference r:id="rId22" w:type="even"/>
      <w:footerReference r:id="rId23" w:type="default"/>
      <w:footerReference r:id="rId24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http://nrich.maths.org/5777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2" name="Shape 12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More Twisting and Turning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7" name="Shape 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n">
    <w:name w:val="mn"/>
    <w:next w:val="m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o">
    <w:name w:val="mo"/>
    <w:next w:val="m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i">
    <w:name w:val="mi"/>
    <w:next w:val="m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png"/><Relationship Id="rId11" Type="http://schemas.openxmlformats.org/officeDocument/2006/relationships/image" Target="media/image7.png"/><Relationship Id="rId22" Type="http://schemas.openxmlformats.org/officeDocument/2006/relationships/header" Target="header2.xml"/><Relationship Id="rId10" Type="http://schemas.openxmlformats.org/officeDocument/2006/relationships/image" Target="media/image9.png"/><Relationship Id="rId21" Type="http://schemas.openxmlformats.org/officeDocument/2006/relationships/header" Target="header1.xml"/><Relationship Id="rId13" Type="http://schemas.openxmlformats.org/officeDocument/2006/relationships/image" Target="media/image3.png"/><Relationship Id="rId24" Type="http://schemas.openxmlformats.org/officeDocument/2006/relationships/footer" Target="footer2.xml"/><Relationship Id="rId12" Type="http://schemas.openxmlformats.org/officeDocument/2006/relationships/image" Target="media/image8.png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5.png"/><Relationship Id="rId14" Type="http://schemas.openxmlformats.org/officeDocument/2006/relationships/image" Target="media/image11.png"/><Relationship Id="rId17" Type="http://schemas.openxmlformats.org/officeDocument/2006/relationships/image" Target="media/image4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19" Type="http://schemas.openxmlformats.org/officeDocument/2006/relationships/image" Target="media/image13.png"/><Relationship Id="rId6" Type="http://schemas.openxmlformats.org/officeDocument/2006/relationships/customXml" Target="../customXML/item1.xml"/><Relationship Id="rId18" Type="http://schemas.openxmlformats.org/officeDocument/2006/relationships/image" Target="media/image12.png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7.png"/><Relationship Id="rId2" Type="http://schemas.openxmlformats.org/officeDocument/2006/relationships/image" Target="media/image1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7.png"/><Relationship Id="rId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h8eO3YAeNrrV5i0S7ffCT84HfA==">AMUW2mWnUuGDjKEaRD+QlTP8o3vsRm1jcL14fGl/Q+qyVjnB0EAR2nqo92XmWiee1tx16btQ9WHjhAaiWdYhGDKUh2i8uamkvCwUct6pOoJ2ch9DEvWstps=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2015-06-22T14:48:00Z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