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If a sum invested gains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10%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each year how long will it be before it has doubled its value?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If an object depreciates in value by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10%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each year how long will it take until only half of the original value remains?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Why aren't these two answers the same?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</w:rPr>
        <w:drawing>
          <wp:inline distB="114300" distT="114300" distL="114300" distR="114300">
            <wp:extent cx="1905000" cy="1676400"/>
            <wp:effectExtent b="0" l="0" r="0" t="0"/>
            <wp:docPr descr="graph showing an appreciation and a depreciation curve" id="8" name="image1.jpg"/>
            <a:graphic>
              <a:graphicData uri="http://schemas.openxmlformats.org/drawingml/2006/picture">
                <pic:pic>
                  <pic:nvPicPr>
                    <pic:cNvPr descr="graph showing an appreciation and a depreciation curv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7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Is there a rate, used for both gain and depreciation, for which those two answers would actually be the same? How do you know?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5636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72173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72173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Dating Made Easier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72173"/>
              <wp:effectExtent b="0" l="0" r="0" t="0"/>
              <wp:wrapSquare wrapText="bothSides" distB="0" distT="0" distL="114300" distR="11430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721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SVywSrzC//V0KuONM+mt3oOxOQ==">AMUW2mUAxjlqFzU8G9BECzDWTO+TN06WckruF+zI1slIW6apjc/vnZaRVYl0g0WsR3SVMuyq+mE3wpVg++n70JU01qTYrA27Qv+z76Bn4f1wr31tezk1nmo=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