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3000375</wp:posOffset>
            </wp:positionH>
            <wp:positionV relativeFrom="paragraph">
              <wp:posOffset>190500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190500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3000375</wp:posOffset>
            </wp:positionH>
            <wp:positionV relativeFrom="paragraph">
              <wp:posOffset>4143375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4143375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15107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48675"/>
                        <a:ext cx="6448425" cy="853123"/>
                        <a:chOff x="2121775" y="3348675"/>
                        <a:chExt cx="6448450" cy="862650"/>
                      </a:xfrm>
                    </wpg:grpSpPr>
                    <wpg:grpSp>
                      <wpg:cNvGrpSpPr/>
                      <wpg:grpSpPr>
                        <a:xfrm>
                          <a:off x="2121788" y="3348676"/>
                          <a:ext cx="6448425" cy="862648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5 by 5 Mathdokus (level 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2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hZAkO2AA45yBuq51TWn79JJQXQ==">AMUW2mUj6iWCGcRBWgGJ75nWGUABVBJHN/AyKaqKf/w0kYBw/HbkmmWOnD0NSWKGFIwqrudWM1+/fUeox/Mk7e68GHLZkAmawk8bPd9fM5sRtRS6bBYUAZ4=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