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7.png" ContentType="image/png"/>
  <Override PartName="/word/media/image2.jpeg" ContentType="image/jpeg"/>
  <Override PartName="/word/media/image1.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spacing w:before="0" w:after="0"/>
        <w:rPr>
          <w:rFonts w:ascii="Liberation Sans" w:hAnsi="Liberation Sans"/>
        </w:rPr>
      </w:pPr>
      <w:r>
        <w:rPr>
          <w:rFonts w:ascii="Liberation Sans" w:hAnsi="Liberation Sans"/>
        </w:rPr>
        <w:t>Algebra in the national curriculum</w:t>
      </w:r>
    </w:p>
    <w:p>
      <w:pPr>
        <w:pStyle w:val="TextBody"/>
        <w:rPr/>
      </w:pPr>
      <w:r>
        <w:rPr>
          <w:rFonts w:ascii="Liberation Sans" w:hAnsi="Liberation Sans"/>
        </w:rPr>
        <w:br/>
        <w:t>The purpose of this article is to make explicit some of the aspects of algebra, particularly for young children, that need attention if more students are going to adopt an algebraic approach to mathematics as standard. By following through the threads of algebraic thinking, discussed in this article, from early primary through to secondary formal algebra we can ensure that children's mathematical experiences follow a continuous progression. The paper also explores the use of Cuisenaire rods and graphplotters to support children’s understanding.</w:t>
        <w:br/>
        <w:br/>
        <w:t>Research references can be found in an extensive document published by the Nuffield Foundation (</w:t>
      </w:r>
      <w:hyperlink r:id="rId2" w:tgtFrame="_blank">
        <w:r>
          <w:rPr>
            <w:rStyle w:val="InternetLink"/>
            <w:rFonts w:ascii="Liberation Sans" w:hAnsi="Liberation Sans"/>
          </w:rPr>
          <w:t>http://www.nuffieldfoundation.org/sites/default/files/P6.pdf</w:t>
        </w:r>
      </w:hyperlink>
      <w:r>
        <w:rPr>
          <w:rFonts w:ascii="Liberation Sans" w:hAnsi="Liberation Sans"/>
        </w:rPr>
        <w:t>).</w:t>
      </w:r>
    </w:p>
    <w:p>
      <w:pPr>
        <w:pStyle w:val="Heading3"/>
        <w:rPr/>
      </w:pPr>
      <w:r>
        <w:rPr>
          <w:rStyle w:val="StrongEmphasis"/>
          <w:rFonts w:ascii="Liberation Sans" w:hAnsi="Liberation Sans"/>
        </w:rPr>
        <w:t>Historical background: a personal perspective</w:t>
      </w:r>
    </w:p>
    <w:p>
      <w:pPr>
        <w:pStyle w:val="TextBody"/>
        <w:rPr/>
      </w:pPr>
      <w:r>
        <w:rPr>
          <w:rFonts w:ascii="Liberation Sans" w:hAnsi="Liberation Sans"/>
        </w:rPr>
        <w:t>No sooner was the new mathematics NC off the starting blocks than I began to hear stories about primary teachers being advised that in year 6 they need to be teaching '</w:t>
      </w:r>
      <w:r>
        <w:rPr>
          <w:rFonts w:ascii="MathJax" w:hAnsi="MathJax"/>
        </w:rPr>
        <w:t>y=mx+c</w:t>
      </w:r>
      <w:r>
        <w:rPr>
          <w:rFonts w:ascii="Liberation Sans" w:hAnsi="Liberation Sans"/>
        </w:rPr>
        <w:t>'. That may be what Gove imagined, and it was certainly in early drafts of the NC, but year 6 is either too early or too late for this. It depends on whether this means that students should be working in a variety of informal ways with linearity, or that students should be grappling with formal notation and formal treatment of straight line graphs and linear functions. For the former it is too late and for the latter too early.</w:t>
        <w:br/>
        <w:br/>
        <w:t>The specialist panel (on which I sat) was given limited time and resources to develop a workable curriculum that was true to mathematics, and we had to translate everything into language that could be understood by civil servants and politicians. Throughout our work we tried to establish some fundamental ideas about algebra that avoided the need to fly in '</w:t>
      </w:r>
      <w:r>
        <w:rPr>
          <w:rFonts w:ascii="MathJax" w:hAnsi="MathJax"/>
        </w:rPr>
        <w:t>x</w:t>
      </w:r>
      <w:r>
        <w:rPr>
          <w:rFonts w:ascii="Liberation Sans" w:hAnsi="Liberation Sans"/>
        </w:rPr>
        <w:t>' as some kind of symbolic alien in year 6 and instead builds on students' understanding of relations among quantities. In KS1 and 2 we were able to give some guidance about this but in KS3 we were prevented from providing guidance to explain the thinking behind the list of topics. At first glance it certainly looks as if what is required at KS3 is old-fashioned manipulation practice followed by some graphing. For some time we had included a 'pre-algebra' strand in primary to try and emphasise that algebra is a way of expressing generalities and relationships, but those ideas were absorbed into other headings and became rather hidden.</w:t>
        <w:br/>
        <w:br/>
        <w:t>The Advisory Committee on Mathematics Education (ACME), in its responses to consultations about the NC, advised:</w:t>
        <w:br/>
        <w:br/>
      </w:r>
      <w:r>
        <w:rPr>
          <w:rStyle w:val="Emphasis"/>
          <w:rFonts w:ascii="Liberation Sans" w:hAnsi="Liberation Sans"/>
        </w:rPr>
        <w:t>• Expectations of algebraic thinking could be based on reasoning about relations between quantities, such as patterns, structure, equivalence, commutativity, distributivity, and associativity</w:t>
        <w:br/>
        <w:t>• Early introduction of formal algebra can lead to poor understanding without a good foundation</w:t>
        <w:br/>
        <w:t>• Algebra connects what is known about number relations in arithmetic to general expression of those relations, including unknown quantities and variables.</w:t>
      </w:r>
      <w:r>
        <w:rPr>
          <w:rFonts w:ascii="Liberation Sans" w:hAnsi="Liberation Sans"/>
        </w:rPr>
        <w:br/>
        <w:br/>
        <w:t>These statements were an informed reaction to statements from Ministers that algebra had to be taught to younger students in order to match the curricula of high performing jurisdictions. Ministerial statements ignored the fact that the basics of algebraic reasoning had always been in our earlier versions of the national curriculum and many of these pre-algebraic ideas appeared earlier in England and Wales than in those countries ministers sought to emulate. The difference of opinion hinged around what can be described as algebra.</w:t>
        <w:br/>
        <w:br/>
        <w:t>As the ACME comments above make clear, school algebra is founded on expressing structure, equivalence, and laws of combination of operations. These concepts emerge in early learning about number and arithmetic. Students' arithmetical competence and inventiveness depend on them, and they can develop further through mental methods and a range of spatial models for number.</w:t>
        <w:br/>
        <w:br/>
        <w:t>Rather than being explicit about this as we would have wished, we ensured that there are indications throughout the primary curriculum in the guidance that can be read as directions to develop an algebraic, structural, understanding of number and arithmetic.</w:t>
      </w:r>
    </w:p>
    <w:p>
      <w:pPr>
        <w:pStyle w:val="Heading4"/>
        <w:rPr>
          <w:rFonts w:ascii="Liberation Sans" w:hAnsi="Liberation Sans"/>
        </w:rPr>
      </w:pPr>
      <w:r>
        <w:rPr>
          <w:rFonts w:ascii="Liberation Sans" w:hAnsi="Liberation Sans"/>
        </w:rPr>
      </w:r>
    </w:p>
    <w:p>
      <w:pPr>
        <w:pStyle w:val="Heading3"/>
        <w:rPr>
          <w:rFonts w:ascii="Liberation Sans" w:hAnsi="Liberation Sans"/>
        </w:rPr>
      </w:pPr>
      <w:r>
        <w:rPr>
          <w:rFonts w:ascii="Liberation Sans" w:hAnsi="Liberation Sans"/>
        </w:rPr>
        <w:t>Algebraic indicators in the NC</w:t>
      </w:r>
    </w:p>
    <w:p>
      <w:pPr>
        <w:pStyle w:val="TextBody"/>
        <w:rPr/>
      </w:pPr>
      <w:r>
        <w:rPr>
          <w:rFonts w:ascii="Liberation Sans" w:hAnsi="Liberation Sans"/>
        </w:rPr>
        <w:t>Here are some examples mentioned in the NC:</w:t>
        <w:br/>
        <w:br/>
        <w:t>• patterns in the number system; repeating patterns with objects and with shapes</w:t>
        <w:br/>
        <w:t>• several forms of relations between quantities (e.g. 9 + 7 = 16; 16 – 7 = 9; 7 = 16 - 9)</w:t>
        <w:br/>
        <w:t>• proper use of equals sign</w:t>
        <w:br/>
        <w:t>• addition/subtraction and multiplication/division as pairs of related operations</w:t>
        <w:br/>
        <w:t>• the effect of adding or subtracting zero</w:t>
        <w:br/>
        <w:t>• commutativity and associativity of addition (e.g. 1 + 3 + 5 = 3 + 1 + 5 etc.)</w:t>
        <w:br/>
        <w:br/>
        <w:t xml:space="preserve">Most of these ideas are met in early number, with concrete materials and </w:t>
      </w:r>
      <w:r>
        <w:rPr>
          <w:rStyle w:val="StrongEmphasis"/>
          <w:rFonts w:ascii="Liberation Sans" w:hAnsi="Liberation Sans"/>
        </w:rPr>
        <w:t>structured apparatus</w:t>
      </w:r>
      <w:r>
        <w:rPr>
          <w:rFonts w:ascii="Liberation Sans" w:hAnsi="Liberation Sans"/>
        </w:rPr>
        <w:t xml:space="preserve"> such as Cuisenaire rods and numberlines.</w:t>
        <w:br/>
        <w:br/>
        <w:t>Further examples:</w:t>
        <w:br/>
        <w:t>• inverse relations (e.g. 4 × 5 = 20 and 20 ÷ 5 = 4)</w:t>
        <w:br/>
        <w:t>• associative law (2 × 3) × 4 = 2 × (3 × 4)</w:t>
        <w:br/>
        <w:t>• distributive law 39 × 7 = 30 × 7 + 9 × 7</w:t>
        <w:br/>
        <w:br/>
        <w:t xml:space="preserve">These ideas can emerge through use of </w:t>
      </w:r>
      <w:r>
        <w:rPr>
          <w:rStyle w:val="StrongEmphasis"/>
          <w:rFonts w:ascii="Liberation Sans" w:hAnsi="Liberation Sans"/>
        </w:rPr>
        <w:t>structured materials</w:t>
      </w:r>
      <w:r>
        <w:rPr>
          <w:rFonts w:ascii="Liberation Sans" w:hAnsi="Liberation Sans"/>
        </w:rPr>
        <w:t xml:space="preserve"> to learn the meaning of multiplication as arrays, and might be consolidated through problem solving, deriving mental methods, interpreting word problems, and - later - area considerations. Most of the guidance given for mental methods in the NC is algebraic as it is dependent on these laws and relations, but it may be worthwhile for teachers to distinguish between those laws that are useful for all numbers, such as those above, and those that are useful in number-specific contexts, such as </w:t>
      </w:r>
      <w:r>
        <w:rPr>
          <w:rFonts w:ascii="MathJax" w:hAnsi="MathJax"/>
        </w:rPr>
        <w:t>n</w:t>
      </w:r>
      <w:r>
        <w:rPr>
          <w:rFonts w:ascii="Liberation Sans" w:hAnsi="Liberation Sans"/>
        </w:rPr>
        <w:t xml:space="preserve"> x 9 = </w:t>
      </w:r>
      <w:r>
        <w:rPr>
          <w:rFonts w:ascii="MathJax" w:hAnsi="MathJax"/>
        </w:rPr>
        <w:t>n</w:t>
      </w:r>
      <w:r>
        <w:rPr>
          <w:rFonts w:ascii="Liberation Sans" w:hAnsi="Liberation Sans"/>
        </w:rPr>
        <w:t xml:space="preserve"> x 10 - </w:t>
      </w:r>
      <w:r>
        <w:rPr>
          <w:rFonts w:ascii="MathJax" w:hAnsi="MathJax"/>
        </w:rPr>
        <w:t>n</w:t>
      </w:r>
      <w:r>
        <w:rPr>
          <w:rFonts w:ascii="Liberation Sans" w:hAnsi="Liberation Sans"/>
        </w:rPr>
        <w:t xml:space="preserve"> and so on.</w:t>
        <w:br/>
        <w:br/>
      </w:r>
      <w:r>
        <w:rPr>
          <w:rStyle w:val="StrongEmphasis"/>
          <w:rFonts w:ascii="Liberation Sans" w:hAnsi="Liberation Sans"/>
        </w:rPr>
        <w:t>The need for brackets</w:t>
      </w:r>
      <w:r>
        <w:rPr>
          <w:rFonts w:ascii="Liberation Sans" w:hAnsi="Liberation Sans"/>
        </w:rPr>
        <w:br/>
        <w:t xml:space="preserve">Also arising from number work is the need for brackets, for example to distinguish between, 2 + 1 x 3 = 5 and (2 + 1) x 3 = 9. Brackets can also be used to justify the former number-specific methods, so that </w:t>
      </w:r>
      <w:r>
        <w:rPr>
          <w:rFonts w:ascii="MathJax" w:hAnsi="MathJax"/>
        </w:rPr>
        <w:t>n</w:t>
      </w:r>
      <w:r>
        <w:rPr>
          <w:rFonts w:ascii="Liberation Sans" w:hAnsi="Liberation Sans"/>
        </w:rPr>
        <w:t xml:space="preserve"> x 9 can be written as </w:t>
      </w:r>
      <w:r>
        <w:rPr>
          <w:rFonts w:ascii="MathJax" w:hAnsi="MathJax"/>
        </w:rPr>
        <w:t>n</w:t>
      </w:r>
      <w:r>
        <w:rPr>
          <w:rFonts w:ascii="Liberation Sans" w:hAnsi="Liberation Sans"/>
        </w:rPr>
        <w:t xml:space="preserve"> x (10 - 1). (Here I am avoiding the standard notation of 9</w:t>
      </w:r>
      <w:r>
        <w:rPr>
          <w:rFonts w:ascii="MathJax" w:hAnsi="MathJax"/>
        </w:rPr>
        <w:t>n</w:t>
      </w:r>
      <w:r>
        <w:rPr>
          <w:rFonts w:ascii="Liberation Sans" w:hAnsi="Liberation Sans"/>
        </w:rPr>
        <w:t xml:space="preserve"> = (10 - 1)</w:t>
      </w:r>
      <w:r>
        <w:rPr>
          <w:rFonts w:ascii="MathJax Main" w:hAnsi="MathJax Main"/>
        </w:rPr>
        <w:t>n</w:t>
      </w:r>
      <w:r>
        <w:rPr>
          <w:rFonts w:ascii="Liberation Sans" w:hAnsi="Liberation Sans"/>
        </w:rPr>
        <w:t xml:space="preserve"> because adoption of conventional use of symbols is not the same as understanding the underlying numerical relationships.)</w:t>
        <w:br/>
        <w:br/>
      </w:r>
      <w:r>
        <w:rPr>
          <w:rStyle w:val="StrongEmphasis"/>
          <w:rFonts w:ascii="Liberation Sans" w:hAnsi="Liberation Sans"/>
        </w:rPr>
        <w:t>Learning early algebra</w:t>
      </w:r>
      <w:r>
        <w:rPr>
          <w:rFonts w:ascii="Liberation Sans" w:hAnsi="Liberation Sans"/>
        </w:rPr>
        <w:br/>
        <w:t>So learning early algebra has two parts:</w:t>
        <w:br/>
        <w:br/>
        <w:t>• the relations that need to be expressed</w:t>
        <w:br/>
        <w:t>• the conventional ways to express them.</w:t>
        <w:br/>
        <w:br/>
        <w:t>Much algebra teaching has focused on the second while ignoring the first, so that 'algebra' as a school subject appears to be a set of rules for moving letters around. As with any symbolic system (e.g. writing, or music, or dance moves) learning the system has to be connected with the meanings being communicated.</w:t>
        <w:br/>
        <w:br/>
      </w:r>
      <w:r>
        <w:rPr>
          <w:rStyle w:val="StrongEmphasis"/>
          <w:rFonts w:ascii="Liberation Sans" w:hAnsi="Liberation Sans"/>
        </w:rPr>
        <w:t>Missing number problems</w:t>
      </w:r>
      <w:r>
        <w:rPr>
          <w:rFonts w:ascii="Liberation Sans" w:hAnsi="Liberation Sans"/>
        </w:rPr>
        <w:br/>
        <w:t>The most obvious pre-algebraic aspect for people who think of algebra as 'solving equations' is the presence throughout the primary mathematics NC of missing number problems. However, it is important to note that there is extensive research about connections between:</w:t>
        <w:br/>
        <w:br/>
        <w:t>• missing number problems that can be solved by filling in the gaps of known number facts, such as ∎ + 7 = 13 means that ∎ must be 6</w:t>
        <w:br/>
        <w:br/>
        <w:t>• algebraic reasoning which involves transforming expressions and equations according to the laws of arithmetic, such as 158 = ∎ + 37</w:t>
        <w:br/>
        <w:br/>
        <w:t>Moving from missing number problems by using '</w:t>
      </w:r>
      <w:r>
        <w:rPr>
          <w:rFonts w:ascii="MathJax Main" w:hAnsi="MathJax Main"/>
        </w:rPr>
        <w:t>x</w:t>
      </w:r>
      <w:r>
        <w:rPr>
          <w:rFonts w:ascii="Liberation Sans" w:hAnsi="Liberation Sans"/>
        </w:rPr>
        <w:t>' instead of an empty box can be seen as trivial but such a translation does not guarantee algebraic understanding. Rather it uses '</w:t>
      </w:r>
      <w:r>
        <w:rPr>
          <w:rFonts w:ascii="MathJax" w:hAnsi="MathJax"/>
        </w:rPr>
        <w:t>x</w:t>
      </w:r>
      <w:r>
        <w:rPr>
          <w:rFonts w:ascii="Liberation Sans" w:hAnsi="Liberation Sans"/>
        </w:rPr>
        <w:t>' as it might be used on a treasure map 'x marks the spot' or as a code. In easy examples involving integers students will use their knowledge of numberbonds to find the missing number, rather than algebraic processes which enable them to work with all real numbers (and beyond).</w:t>
      </w:r>
    </w:p>
    <w:p>
      <w:pPr>
        <w:pStyle w:val="Heading4"/>
        <w:rPr>
          <w:rFonts w:ascii="Liberation Sans" w:hAnsi="Liberation Sans"/>
        </w:rPr>
      </w:pPr>
      <w:r>
        <w:rPr>
          <w:rFonts w:ascii="Liberation Sans" w:hAnsi="Liberation Sans"/>
        </w:rPr>
      </w:r>
    </w:p>
    <w:p>
      <w:pPr>
        <w:pStyle w:val="Heading3"/>
        <w:rPr>
          <w:rFonts w:ascii="Liberation Sans" w:hAnsi="Liberation Sans"/>
        </w:rPr>
      </w:pPr>
      <w:r>
        <w:rPr>
          <w:rFonts w:ascii="Liberation Sans" w:hAnsi="Liberation Sans"/>
        </w:rPr>
        <w:t>Where's all this leading?</w:t>
      </w:r>
    </w:p>
    <w:p>
      <w:pPr>
        <w:pStyle w:val="TextBody"/>
        <w:rPr>
          <w:rFonts w:ascii="Liberation Sans" w:hAnsi="Liberation Sans"/>
        </w:rPr>
      </w:pPr>
      <w:r>
        <w:rPr>
          <w:rFonts w:ascii="Liberation Sans" w:hAnsi="Liberation Sans"/>
        </w:rPr>
        <w:t>Before I talk further about primary algebraic experiences it is worth looking at where school algebra is expected to get to, as this gives some clues about where to focus attention on the way. A useful analogy is for everyone on a train journey to know that at the end of the journey people will have to describe the trees they saw on the way. Passengers, guard, announcer, catering staff, window cleaners and ticket information could all be helping with this and the train could slow down while it is passing a particularly tree-lined part of the route - but the main aim of the journey is to get from A to B. I am suggesting that algebraic and pre-algebraic ideas can be embedded, like tree-awareness, throughout the curriculum, and given special attention as they arise, but may not be the main aim of the lessons in which they appear.</w:t>
      </w:r>
    </w:p>
    <w:p>
      <w:pPr>
        <w:pStyle w:val="TextBody"/>
        <w:rPr/>
      </w:pPr>
      <w:r>
        <w:rPr>
          <w:rFonts w:ascii="Liberation Sans" w:hAnsi="Liberation Sans"/>
        </w:rPr>
        <w:br/>
        <w:t>GCSE content for algebra can be encapsulated into a few main headings:</w:t>
        <w:br/>
        <w:br/>
        <w:t>• algebraic notation and manipulation</w:t>
        <w:br/>
        <w:t>• solving equations in one variable and simultaneous equations in two variables</w:t>
        <w:br/>
        <w:t>• sequences</w:t>
        <w:br/>
        <w:t>• application of algebra, functions and graphs to real world problems</w:t>
        <w:br/>
        <w:t>• properties and transformations of some simple functions.</w:t>
        <w:br/>
        <w:br/>
        <w:t>The roots of these can be found throughout primary mathematics. Working backwards through the curriculum, I can identify eight key strands of algebraic learning and activity that apply, in a limited way, in primary mathematics too:</w:t>
        <w:br/>
        <w:br/>
        <w:t>• Generalising relations between quantities</w:t>
        <w:br/>
        <w:t>• Equivalence: different expressions meaning the same thing</w:t>
        <w:br/>
        <w:t>• Solving simple equations (finding particular values of variables for particular states)</w:t>
        <w:br/>
        <w:t>• Expressing real and mathematical situations algebraically (recognising additive, multiplicative and exponential relations)</w:t>
        <w:br/>
        <w:t>• Relating features of graphs to situations (e.g. steepness and direction and turning points)</w:t>
        <w:br/>
        <w:t>• Finding new relations from old</w:t>
        <w:br/>
        <w:t>• Standard notation</w:t>
        <w:br/>
        <w:t>• Understanding functions in general and some specified functions and their properties and behaviour</w:t>
        <w:br/>
        <w:br/>
        <w:t>At least the first seven, and possibly the eighth if graphplotters are used regularly, can be introduced, referred to, and used in a planned and limited way throughout primary school, with a light touch, as the train team might indicate trees on the journey.</w:t>
        <w:br/>
        <w:br/>
        <w:t>I am going to treat these as a '</w:t>
      </w:r>
      <w:r>
        <w:rPr>
          <w:rStyle w:val="StrongEmphasis"/>
          <w:rFonts w:ascii="Liberation Sans" w:hAnsi="Liberation Sans"/>
        </w:rPr>
        <w:t>boxed set</w:t>
      </w:r>
      <w:r>
        <w:rPr>
          <w:rFonts w:ascii="Liberation Sans" w:hAnsi="Liberation Sans"/>
        </w:rPr>
        <w:t>' in abbreviated form for the rest of this paper.</w:t>
      </w:r>
    </w:p>
    <w:p>
      <w:pPr>
        <w:pStyle w:val="TextBody"/>
        <w:rPr>
          <w:rFonts w:ascii="Liberation Sans" w:hAnsi="Liberation Sans"/>
        </w:rPr>
      </w:pPr>
      <w:r>
        <w:rPr>
          <w:rFonts w:ascii="Liberation Sans" w:hAnsi="Liberation Sans"/>
        </w:rPr>
        <w:tab/>
        <w:t>relations</w:t>
        <w:br/>
        <w:tab/>
        <w:t>equivalence</w:t>
        <w:br/>
        <w:tab/>
        <w:t>finding values</w:t>
        <w:br/>
        <w:tab/>
        <w:t>expressing situations</w:t>
        <w:br/>
        <w:tab/>
        <w:t>graphs to situations</w:t>
        <w:br/>
        <w:tab/>
        <w:t>new from old</w:t>
        <w:br/>
        <w:tab/>
        <w:t>standard notation</w:t>
        <w:br/>
        <w:tab/>
        <w:t>functions</w:t>
      </w:r>
    </w:p>
    <w:p>
      <w:pPr>
        <w:pStyle w:val="Heading4"/>
        <w:rPr>
          <w:rFonts w:ascii="Liberation Sans" w:hAnsi="Liberation Sans"/>
        </w:rPr>
      </w:pPr>
      <w:r>
        <w:rPr>
          <w:rFonts w:ascii="Liberation Sans" w:hAnsi="Liberation Sans"/>
        </w:rPr>
      </w:r>
    </w:p>
    <w:p>
      <w:pPr>
        <w:pStyle w:val="Heading3"/>
        <w:rPr>
          <w:rFonts w:ascii="Liberation Sans" w:hAnsi="Liberation Sans"/>
        </w:rPr>
      </w:pPr>
      <w:r>
        <w:rPr>
          <w:rFonts w:ascii="Liberation Sans" w:hAnsi="Liberation Sans"/>
        </w:rPr>
        <w:br/>
        <w:t>And where does it start?</w:t>
      </w:r>
    </w:p>
    <w:p>
      <w:pPr>
        <w:pStyle w:val="TextBody"/>
        <w:rPr>
          <w:rFonts w:ascii="Liberation Sans" w:hAnsi="Liberation Sans"/>
        </w:rPr>
      </w:pPr>
      <w:r>
        <w:rPr>
          <w:rFonts w:ascii="Liberation Sans" w:hAnsi="Liberation Sans"/>
        </w:rPr>
        <w:t>The explicit mention of algebra in the primary NC happens in the Year 6 programme of study:</w:t>
      </w:r>
    </w:p>
    <w:p>
      <w:pPr>
        <w:pStyle w:val="TextBody"/>
        <w:rPr/>
      </w:pPr>
      <w:r>
        <w:rPr>
          <w:rFonts w:ascii="Liberation Sans" w:hAnsi="Liberation Sans"/>
        </w:rPr>
        <w:t xml:space="preserve">• </w:t>
      </w:r>
      <w:r>
        <w:rPr>
          <w:rFonts w:ascii="Liberation Sans" w:hAnsi="Liberation Sans"/>
        </w:rPr>
        <w:t>express missing number problems algebraically</w:t>
        <w:br/>
        <w:t>• use simple formulae expressed in words</w:t>
        <w:br/>
        <w:t>• generate and describe linear number sequences</w:t>
        <w:br/>
        <w:t>• find pairs of numbers that satisfy number sentences involving two unknowns.</w:t>
        <w:br/>
        <w:t>• enumerate possibilities of combinations of two variables</w:t>
        <w:br/>
        <w:br/>
        <w:t xml:space="preserve">The accompanying non-statutory guidance makes it clear that it is expected that these should arise from situations that students already understand. </w:t>
      </w:r>
      <w:r>
        <w:rPr>
          <w:rStyle w:val="StrongEmphasis"/>
          <w:rFonts w:ascii="Liberation Sans" w:hAnsi="Liberation Sans"/>
        </w:rPr>
        <w:t>Thus using letters is the mathematical way to communicate things that are known.</w:t>
      </w:r>
    </w:p>
    <w:p>
      <w:pPr>
        <w:pStyle w:val="TextBody"/>
        <w:spacing w:before="0" w:after="0"/>
        <w:rPr/>
      </w:pPr>
      <w:r>
        <w:rPr>
          <w:rStyle w:val="StrongEmphasis"/>
          <w:rFonts w:ascii="Liberation Sans" w:hAnsi="Liberation Sans"/>
        </w:rPr>
        <w:t>Introducing symbols and letters</w:t>
      </w:r>
      <w:r>
        <w:rPr>
          <w:rFonts w:ascii="Liberation Sans" w:hAnsi="Liberation Sans"/>
        </w:rPr>
        <w:br/>
        <w:t>Pupils should be introduced to the use of symbols and letters to represent variables and unknowns in mathematical situations that they already understand, such as:</w:t>
        <w:br/>
        <w:br/>
        <w:t>• missing numbers, lengths, coordinates and angles</w:t>
        <w:br/>
        <w:t>• formulae in mathematics and science</w:t>
        <w:br/>
        <w:t xml:space="preserve">• arithmetical rules (e.g. </w:t>
      </w:r>
      <w:r>
        <w:rPr>
          <w:rFonts w:ascii="MathJax" w:hAnsi="MathJax"/>
        </w:rPr>
        <w:t>a + b = b + a</w:t>
      </w:r>
      <w:r>
        <w:rPr>
          <w:rFonts w:ascii="Liberation Sans" w:hAnsi="Liberation Sans"/>
        </w:rPr>
        <w:t>)</w:t>
        <w:br/>
        <w:t>• generalisations of number patterns</w:t>
        <w:br/>
        <w:t>• number puzzles (e.g. what two numbers can add up to).</w:t>
        <w:br/>
        <w:br/>
      </w:r>
      <w:r>
        <w:rPr>
          <w:rStyle w:val="StrongEmphasis"/>
          <w:rFonts w:ascii="Liberation Sans" w:hAnsi="Liberation Sans"/>
        </w:rPr>
        <w:t>CPD opportunity: whole-school progression</w:t>
      </w:r>
      <w:r>
        <w:drawing>
          <wp:anchor behindDoc="0" distT="95250" distB="95250" distL="95250" distR="95250" simplePos="0" locked="0" layoutInCell="1" allowOverlap="1" relativeHeight="38">
            <wp:simplePos x="0" y="0"/>
            <wp:positionH relativeFrom="column">
              <wp:align>left</wp:align>
            </wp:positionH>
            <wp:positionV relativeFrom="line">
              <wp:align>bottom</wp:align>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A useful activity for teachers working together is to identify what they already do about missing number problems, arithmetical facts, number patterns and so on and then check across the whole school whether this provides a coherent pathway towards being able to use letters to express them, and to understand what is being expressed.</w:t>
        <w:br/>
        <w:br/>
        <w:t>For example, the mysterious statement about 'enumeration' refers back to guidance in year 1 about enumerating objects as an aspect of counting. This means arriving at a total not by counting every individual item but by grouping and combining or otherwise using number properties efficiently. For example, 12 as a quantity can arise from: 4 lots of 3, or 3 lots of 4; two groups of 6; 6 pairs; 2 lots of 5 plus two extra.</w:t>
        <w:br/>
        <w:br/>
        <w:t xml:space="preserve">From this kind of work a need for notation can arise so we can say , in general, that if </w:t>
      </w:r>
      <w:r>
        <w:rPr>
          <w:rFonts w:ascii="MathJax" w:hAnsi="MathJax"/>
        </w:rPr>
        <w:t>c = ab</w:t>
      </w:r>
      <w:r>
        <w:rPr>
          <w:rFonts w:ascii="Liberation Sans" w:hAnsi="Liberation Sans"/>
        </w:rPr>
        <w:t xml:space="preserve"> then it also equals </w:t>
      </w:r>
      <w:r>
        <w:rPr>
          <w:rFonts w:ascii="MathJax" w:hAnsi="MathJax"/>
        </w:rPr>
        <w:t>ba</w:t>
      </w:r>
      <w:r>
        <w:rPr>
          <w:rFonts w:ascii="Liberation Sans" w:hAnsi="Liberation Sans"/>
        </w:rPr>
        <w:t xml:space="preserve">, and if it is even it can always be written as 2 x something. Furthermore, we could signify the 'something' using a letter and could then write </w:t>
      </w:r>
      <w:r>
        <w:rPr>
          <w:rFonts w:ascii="MathJax" w:hAnsi="MathJax"/>
        </w:rPr>
        <w:t>n</w:t>
      </w:r>
      <w:r>
        <w:rPr>
          <w:rFonts w:ascii="Liberation Sans" w:hAnsi="Liberation Sans"/>
        </w:rPr>
        <w:t xml:space="preserve"> as 2 x (</w:t>
      </w:r>
      <w:r>
        <w:rPr>
          <w:rFonts w:ascii="MathJax" w:hAnsi="MathJax"/>
        </w:rPr>
        <w:t>n</w:t>
      </w:r>
      <w:r>
        <w:rPr>
          <w:rFonts w:ascii="Liberation Sans" w:hAnsi="Liberation Sans"/>
        </w:rPr>
        <w:t>-1) + 2. All this and more can arise from manipulating blocks, or cuisenaire rods, or shading squares, or mental arithmetic, or even by doing some traditional country dance patterns. The use of letters as the mathematical way to write things that are generally true arises from what is known and understood.</w:t>
        <w:br/>
        <w:br/>
        <w:t>From the 'boxed set' this involves:</w:t>
      </w:r>
    </w:p>
    <w:p>
      <w:pPr>
        <w:pStyle w:val="TextBody"/>
        <w:spacing w:before="0" w:after="0"/>
        <w:rPr>
          <w:rFonts w:ascii="Liberation Sans" w:hAnsi="Liberation Sans"/>
        </w:rPr>
      </w:pPr>
      <w:r>
        <w:rPr>
          <w:rFonts w:ascii="Liberation Sans" w:hAnsi="Liberation Sans"/>
        </w:rPr>
        <w:tab/>
        <w:t>relations</w:t>
        <w:br/>
        <w:tab/>
        <w:t>equivalence</w:t>
        <w:br/>
        <w:tab/>
        <w:t>expressing situations</w:t>
        <w:br/>
        <w:tab/>
        <w:t>new from old</w:t>
        <w:br/>
        <w:tab/>
        <w:t>standard notation</w:t>
      </w:r>
    </w:p>
    <w:p>
      <w:pPr>
        <w:pStyle w:val="TextBody"/>
        <w:spacing w:before="0" w:after="0"/>
        <w:rPr/>
      </w:pPr>
      <w:r>
        <w:rPr>
          <w:rFonts w:ascii="Liberation Sans" w:hAnsi="Liberation Sans"/>
        </w:rPr>
        <w:br/>
      </w:r>
      <w:r>
        <w:rPr>
          <w:rStyle w:val="StrongEmphasis"/>
          <w:rFonts w:ascii="Liberation Sans" w:hAnsi="Liberation Sans"/>
        </w:rPr>
        <w:t>Working with number patterns</w:t>
      </w:r>
      <w:r>
        <w:rPr>
          <w:rFonts w:ascii="Liberation Sans" w:hAnsi="Liberation Sans"/>
        </w:rPr>
        <w:br/>
        <w:t>Another feature of primary mathematics that leads into algebra is work on number patterns. However there are several ways in which patterns and sequences pop up in primary work and it is important to distinguish between them. I have roughly classified them as:</w:t>
        <w:br/>
        <w:br/>
        <w:t>• repeating</w:t>
        <w:br/>
        <w:t>• continuing</w:t>
        <w:br/>
        <w:t>• spatial</w:t>
        <w:br/>
        <w:br/>
        <w:t>These distinctions, however, depend to some extent on what students are asked to do with them.</w:t>
        <w:br/>
        <w:br/>
      </w:r>
      <w:r>
        <w:rPr>
          <w:rStyle w:val="StrongEmphasis"/>
          <w:rFonts w:ascii="Liberation Sans" w:hAnsi="Liberation Sans"/>
        </w:rPr>
        <w:t>Repeating patterns:</w:t>
      </w:r>
      <w:r>
        <w:rPr>
          <w:rStyle w:val="Emphasis"/>
          <w:rFonts w:ascii="Liberation Sans" w:hAnsi="Liberation Sans"/>
        </w:rPr>
        <w:br/>
        <w:br/>
      </w:r>
      <w:r>
        <w:rPr>
          <w:rStyle w:val="Emphasis"/>
          <w:rFonts w:ascii="Liberation Sans" w:hAnsi="Liberation Sans"/>
        </w:rPr>
        <w:drawing>
          <wp:inline distT="0" distB="0" distL="0" distR="0">
            <wp:extent cx="4762500" cy="3905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4762500" cy="390525"/>
                    </a:xfrm>
                    <a:prstGeom prst="rect">
                      <a:avLst/>
                    </a:prstGeom>
                  </pic:spPr>
                </pic:pic>
              </a:graphicData>
            </a:graphic>
          </wp:inline>
        </w:drawing>
      </w:r>
      <w:r>
        <w:rPr>
          <w:rFonts w:ascii="Liberation Sans" w:hAnsi="Liberation Sans"/>
        </w:rPr>
        <w:br/>
        <w:br/>
        <w:t>a, b, b, a, b, b, ...</w:t>
        <w:br/>
        <w:br/>
        <w:t>doll, teddy, teddy, doll, teddy, teddy ....</w:t>
        <w:br/>
        <w:br/>
        <w:t xml:space="preserve">Expressing this pattern in letters does not in itself make this an algebraic situation, but a question like 'What colour is the 17th square?' or a statement like 'every </w:t>
      </w:r>
      <w:r>
        <w:rPr>
          <w:rFonts w:ascii="MathJax" w:hAnsi="MathJax"/>
        </w:rPr>
        <w:t>(3n-2)</w:t>
      </w:r>
      <w:r>
        <w:rPr>
          <w:rFonts w:ascii="Liberation Sans" w:hAnsi="Liberation Sans"/>
        </w:rPr>
        <w:t>th square is red' is algebraic because it is relating position number to one of two values: red/blue; a/b; doll/teddy.</w:t>
        <w:br/>
        <w:br/>
      </w:r>
      <w:r>
        <w:rPr>
          <w:rStyle w:val="StrongEmphasis"/>
          <w:rFonts w:ascii="Liberation Sans" w:hAnsi="Liberation Sans"/>
        </w:rPr>
        <w:t>Continuing patterns:</w:t>
      </w:r>
      <w:r>
        <w:rPr>
          <w:rFonts w:ascii="Liberation Sans" w:hAnsi="Liberation Sans"/>
        </w:rPr>
        <w:br/>
        <w:br/>
        <w:t>1,4,7,10 ...</w:t>
        <w:br/>
        <w:br/>
        <w:t>Expressing this pattern as 'add 3 each time' is an approach that generates the sequence, and relates to the later idea of gradient of a linear graph. Continuing patterns can be generated from multiplication tables, and from counting up and down in various step sizes, and graphs that represent these. The action of counting up and down can give a bridge between describing a linear sequence in terms of multiplication, and describing it using the term-to-term generating rule.</w:t>
        <w:br/>
        <w:br/>
        <w:t xml:space="preserve">We can also say that the </w:t>
      </w:r>
      <w:r>
        <w:rPr>
          <w:rFonts w:ascii="MathJax" w:hAnsi="MathJax"/>
        </w:rPr>
        <w:t>n</w:t>
      </w:r>
      <w:r>
        <w:rPr>
          <w:rFonts w:ascii="Liberation Sans" w:hAnsi="Liberation Sans"/>
        </w:rPr>
        <w:t xml:space="preserve">th term in this sequence has the value </w:t>
      </w:r>
      <w:r>
        <w:rPr>
          <w:rFonts w:ascii="MathJax" w:hAnsi="MathJax"/>
        </w:rPr>
        <w:t>3n-2</w:t>
      </w:r>
      <w:r>
        <w:rPr>
          <w:rFonts w:ascii="Liberation Sans" w:hAnsi="Liberation Sans"/>
        </w:rPr>
        <w:t xml:space="preserve"> (one more than the relevant multiple). It is worth comparing this to the (</w:t>
      </w:r>
      <w:r>
        <w:rPr>
          <w:rFonts w:ascii="MathJax" w:hAnsi="MathJax"/>
        </w:rPr>
        <w:t>3n-2</w:t>
      </w:r>
      <w:r>
        <w:rPr>
          <w:rFonts w:ascii="Liberation Sans" w:hAnsi="Liberation Sans"/>
        </w:rPr>
        <w:t>) in the example of repeating patterns as these have different meanings - they refer to different aspects of the sequence.</w:t>
        <w:br/>
        <w:br/>
      </w:r>
    </w:p>
    <w:p>
      <w:pPr>
        <w:pStyle w:val="TextBody"/>
        <w:spacing w:before="0" w:after="0"/>
        <w:rPr>
          <w:rStyle w:val="StrongEmphasis"/>
          <w:rFonts w:ascii="Liberation Sans" w:hAnsi="Liberation Sans"/>
        </w:rPr>
      </w:pPr>
      <w:r>
        <w:rPr/>
      </w:r>
    </w:p>
    <w:p>
      <w:pPr>
        <w:pStyle w:val="TextBody"/>
        <w:spacing w:before="0" w:after="0"/>
        <w:rPr>
          <w:rStyle w:val="StrongEmphasis"/>
          <w:rFonts w:ascii="Liberation Sans" w:hAnsi="Liberation Sans"/>
        </w:rPr>
      </w:pPr>
      <w:r>
        <w:rPr/>
      </w:r>
    </w:p>
    <w:p>
      <w:pPr>
        <w:pStyle w:val="TextBody"/>
        <w:spacing w:before="0" w:after="0"/>
        <w:rPr>
          <w:rStyle w:val="StrongEmphasis"/>
          <w:rFonts w:ascii="Liberation Sans" w:hAnsi="Liberation Sans"/>
        </w:rPr>
      </w:pPr>
      <w:r>
        <w:rPr/>
      </w:r>
    </w:p>
    <w:p>
      <w:pPr>
        <w:pStyle w:val="TextBody"/>
        <w:spacing w:before="0" w:after="0"/>
        <w:rPr>
          <w:rStyle w:val="StrongEmphasis"/>
          <w:rFonts w:ascii="Liberation Sans" w:hAnsi="Liberation Sans"/>
        </w:rPr>
      </w:pPr>
      <w:r>
        <w:rPr/>
      </w:r>
    </w:p>
    <w:p>
      <w:pPr>
        <w:pStyle w:val="TextBody"/>
        <w:spacing w:before="0" w:after="0"/>
        <w:rPr/>
      </w:pPr>
      <w:r>
        <w:rPr>
          <w:rStyle w:val="StrongEmphasis"/>
          <w:rFonts w:ascii="Liberation Sans" w:hAnsi="Liberation Sans"/>
        </w:rPr>
        <w:t>Spatial patterns:</w:t>
      </w:r>
      <w:r>
        <w:rPr>
          <w:rStyle w:val="Emphasis"/>
          <w:rFonts w:ascii="Liberation Sans" w:hAnsi="Liberation Sans"/>
        </w:rPr>
        <w:br/>
      </w:r>
      <w:r>
        <w:rPr>
          <w:rStyle w:val="Emphasis"/>
          <w:rFonts w:ascii="Liberation Sans" w:hAnsi="Liberation Sans"/>
        </w:rPr>
        <w:drawing>
          <wp:inline distT="0" distB="0" distL="0" distR="0">
            <wp:extent cx="4762500" cy="10096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
                    <a:stretch>
                      <a:fillRect/>
                    </a:stretch>
                  </pic:blipFill>
                  <pic:spPr bwMode="auto">
                    <a:xfrm>
                      <a:off x="0" y="0"/>
                      <a:ext cx="4762500" cy="1009650"/>
                    </a:xfrm>
                    <a:prstGeom prst="rect">
                      <a:avLst/>
                    </a:prstGeom>
                  </pic:spPr>
                </pic:pic>
              </a:graphicData>
            </a:graphic>
          </wp:inline>
        </w:drawing>
      </w:r>
      <w:r>
        <w:rPr>
          <w:rFonts w:ascii="Liberation Sans" w:hAnsi="Liberation Sans"/>
        </w:rPr>
        <w:br/>
        <w:t>Although it is possible to describe this pattern algebraically in two dimensions, it is far more likely that primary school students will want to describe it generatively (i.e. how you make it) or spatially (i.e. in terms of shape and relative position). It matters how this is valued in lessons - whether the teacher accepts spatial and ad hoc descriptions of sequences or whether s/he drives the algebraic message of expressing relations.</w:t>
        <w:br/>
        <w:br/>
        <w:t>From the 'boxed set' I have indicated:</w:t>
      </w:r>
    </w:p>
    <w:p>
      <w:pPr>
        <w:pStyle w:val="TextBody"/>
        <w:spacing w:before="0" w:after="0"/>
        <w:rPr>
          <w:rFonts w:ascii="Liberation Sans" w:hAnsi="Liberation Sans"/>
        </w:rPr>
      </w:pPr>
      <w:r>
        <w:rPr>
          <w:rFonts w:ascii="Liberation Sans" w:hAnsi="Liberation Sans"/>
        </w:rPr>
        <w:tab/>
        <w:t>relations</w:t>
        <w:br/>
        <w:tab/>
        <w:t>expressing situations</w:t>
        <w:br/>
        <w:tab/>
        <w:t>graphs to situations</w:t>
        <w:br/>
        <w:tab/>
        <w:t>new from old</w:t>
        <w:br/>
        <w:tab/>
        <w:t>standard notation</w:t>
        <w:br/>
        <w:tab/>
        <w:t>functions</w:t>
      </w:r>
    </w:p>
    <w:p>
      <w:pPr>
        <w:pStyle w:val="TextBody"/>
        <w:spacing w:before="0" w:after="0"/>
        <w:rPr/>
      </w:pPr>
      <w:r>
        <w:rPr>
          <w:rFonts w:ascii="Liberation Sans" w:hAnsi="Liberation Sans"/>
        </w:rPr>
        <w:br/>
      </w:r>
      <w:r>
        <w:rPr>
          <w:rStyle w:val="StrongEmphasis"/>
          <w:rFonts w:ascii="Liberation Sans" w:hAnsi="Liberation Sans"/>
        </w:rPr>
        <w:t>Learning to express and ‘read’ operations</w:t>
      </w:r>
      <w:r>
        <w:rPr>
          <w:rFonts w:ascii="Liberation Sans" w:hAnsi="Liberation Sans"/>
        </w:rPr>
        <w:br/>
        <w:t>Another aspect of primary mathematics which feeds algebra is in the ways we express and 'read' operations. If '=' is taken to be an instruction to calculate (‘makes’) then no bridge to algebra is being established and later on students will have to change their 'reading' of it. Cuisenaire rods can help move away from that reading towards an idea of equivalence.</w:t>
        <w:br/>
        <w:br/>
      </w:r>
      <w:r>
        <w:rPr>
          <w:rStyle w:val="StrongEmphasis"/>
          <w:rFonts w:ascii="Liberation Sans" w:hAnsi="Liberation Sans"/>
        </w:rPr>
        <w:t>Working with Cuisenaire rods</w:t>
      </w:r>
      <w:r>
        <w:rPr>
          <w:rFonts w:ascii="Liberation Sans" w:hAnsi="Liberation Sans"/>
        </w:rPr>
        <w:br/>
        <w:t>In the diagram below the additive relation between three quantities is represented in eight different ways. Each way denotes different physical actions. For example you can put down a red rod, then a yellow, and then find a rod that is the same length to equal it. Or you can put down a blue rod, then place a yellow next to it, and discuss how to 'fill the gap'. Different actions relate to different meanings for subtraction, such as 'take away from' or 'find the difference between'.</w:t>
        <w:br/>
        <w:br/>
      </w:r>
      <w:r>
        <w:rPr>
          <w:rFonts w:ascii="Liberation Sans" w:hAnsi="Liberation Sans"/>
        </w:rPr>
        <w:drawing>
          <wp:inline distT="0" distB="0" distL="0" distR="0">
            <wp:extent cx="4981575" cy="362902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6"/>
                    <a:stretch>
                      <a:fillRect/>
                    </a:stretch>
                  </pic:blipFill>
                  <pic:spPr bwMode="auto">
                    <a:xfrm>
                      <a:off x="0" y="0"/>
                      <a:ext cx="4981575" cy="3629025"/>
                    </a:xfrm>
                    <a:prstGeom prst="rect">
                      <a:avLst/>
                    </a:prstGeom>
                  </pic:spPr>
                </pic:pic>
              </a:graphicData>
            </a:graphic>
          </wp:inline>
        </w:drawing>
      </w:r>
      <w:r>
        <w:rPr>
          <w:rFonts w:ascii="Liberation Sans" w:hAnsi="Liberation Sans"/>
        </w:rPr>
        <w:br/>
        <w:br/>
        <w:t>A student who has been consistently worked with these alternative expressions for the relationship will be well-prepared for expressing and manipulating with algebra later on. Similarly the multiplicative relationship below offers several different actions and perspectives which relate not only to algebraic manipulation (re-arranging formulae) but also to understanding ratio.</w:t>
        <w:br/>
        <w:br/>
      </w:r>
      <w:r>
        <w:rPr>
          <w:rFonts w:ascii="Liberation Sans" w:hAnsi="Liberation Sans"/>
        </w:rPr>
        <w:drawing>
          <wp:inline distT="0" distB="0" distL="0" distR="0">
            <wp:extent cx="5238750" cy="33147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7"/>
                    <a:stretch>
                      <a:fillRect/>
                    </a:stretch>
                  </pic:blipFill>
                  <pic:spPr bwMode="auto">
                    <a:xfrm>
                      <a:off x="0" y="0"/>
                      <a:ext cx="5238750" cy="3314700"/>
                    </a:xfrm>
                    <a:prstGeom prst="rect">
                      <a:avLst/>
                    </a:prstGeom>
                  </pic:spPr>
                </pic:pic>
              </a:graphicData>
            </a:graphic>
          </wp:inline>
        </w:drawing>
      </w:r>
      <w:r>
        <w:rPr>
          <w:rFonts w:ascii="Liberation Sans" w:hAnsi="Liberation Sans"/>
        </w:rPr>
        <w:br/>
        <w:br/>
        <w:t>In these suggestions, which can be discussed using rods, measuring tape, and other linear models of number, the boxed set items in use are:</w:t>
      </w:r>
    </w:p>
    <w:p>
      <w:pPr>
        <w:pStyle w:val="TextBody"/>
        <w:spacing w:before="0" w:after="0"/>
        <w:rPr>
          <w:rFonts w:ascii="Liberation Sans" w:hAnsi="Liberation Sans"/>
        </w:rPr>
      </w:pPr>
      <w:r>
        <w:rPr>
          <w:rFonts w:ascii="Liberation Sans" w:hAnsi="Liberation Sans"/>
        </w:rPr>
        <w:tab/>
        <w:t>relations</w:t>
        <w:br/>
        <w:tab/>
        <w:t>equivalence</w:t>
        <w:br/>
        <w:tab/>
        <w:t>finding values</w:t>
        <w:br/>
        <w:tab/>
        <w:t>expressing situations</w:t>
        <w:br/>
        <w:tab/>
        <w:t>standard notation</w:t>
      </w:r>
    </w:p>
    <w:p>
      <w:pPr>
        <w:pStyle w:val="TextBody"/>
        <w:spacing w:before="0" w:after="0"/>
        <w:rPr/>
      </w:pPr>
      <w:r>
        <w:rPr>
          <w:rFonts w:ascii="Liberation Sans" w:hAnsi="Liberation Sans"/>
        </w:rPr>
        <w:br/>
        <w:t>The additive relation can be extended easily. For example, giving students a line 18 cm. long you can ask:</w:t>
        <w:br/>
        <w:t>Here is a line of a fixed length which is called L</w:t>
        <w:br/>
        <w:t>Can you make lines of rods that are equal in length to L? Record your lines.</w:t>
        <w:br/>
        <w:t>Can you make a line of length L using rods of only one colour? Record your lines.</w:t>
        <w:br/>
        <w:t>Can you make a line of length L using rods of only two colours? Record your lines.</w:t>
        <w:br/>
        <w:t>Methods of recording can generate a need for 'collecting like terms' so that a string written as 'green + green + green' can be written as '3green' to indicate a suitable notation.</w:t>
        <w:br/>
        <w:br/>
      </w:r>
      <w:r>
        <w:rPr>
          <w:rStyle w:val="StrongEmphasis"/>
          <w:rFonts w:ascii="Liberation Sans" w:hAnsi="Liberation Sans"/>
        </w:rPr>
        <w:t>Using mental arithmetic to develop children’s algebraic thinking</w:t>
      </w:r>
      <w:r>
        <w:rPr>
          <w:rFonts w:ascii="Liberation Sans" w:hAnsi="Liberation Sans"/>
        </w:rPr>
        <w:br/>
        <w:t>Mental arithmetic is a fertile ground for noticing and expressing algebraic relationships. With additive relations and multiplicative relations we have just seen commutativity appear, although with the red and brown rods we would need to construct a length equal to the brown rod using yellow rods to fully work it through. Two other laws of arithmetic that can be understood, used and expressed are associativity and distributivity.</w:t>
        <w:br/>
      </w:r>
      <w:r>
        <w:rPr>
          <w:rStyle w:val="StrongEmphasis"/>
          <w:rFonts w:ascii="Liberation Sans" w:hAnsi="Liberation Sans"/>
        </w:rPr>
        <w:t>Associativity</w:t>
      </w:r>
      <w:r>
        <w:rPr>
          <w:rFonts w:ascii="Liberation Sans" w:hAnsi="Liberation Sans"/>
        </w:rPr>
        <w:t xml:space="preserve"> is often implicitly assumed. It means that if you have a string of numbers to add, or multiply, it doesn't matter which pair of numbers you start with to calculate the string. It does matter with mixed operations however and that is one of the reasons for using brackets to indicate which operation is to be done first, and also a reason for explicit instruction about calculator use.</w:t>
        <w:br/>
        <w:br/>
      </w:r>
      <w:r>
        <w:rPr>
          <w:rStyle w:val="StrongEmphasis"/>
          <w:rFonts w:ascii="Liberation Sans" w:hAnsi="Liberation Sans"/>
        </w:rPr>
        <w:t>Distributivity</w:t>
      </w:r>
      <w:r>
        <w:rPr>
          <w:rFonts w:ascii="Liberation Sans" w:hAnsi="Liberation Sans"/>
        </w:rPr>
        <w:t xml:space="preserve"> arises throughout primary arithmetic: the main example is that if you add two numbers together and multiply by a scalar (another number) you get the same answer as if you had multiplied both of them by the scalar before you added. This idea is at the basis of much arithmetic and much algebra. It gives an entry into much traditional algebraic manipulation such as </w:t>
      </w:r>
      <w:r>
        <w:rPr>
          <w:rFonts w:ascii="MathJax" w:hAnsi="MathJax"/>
        </w:rPr>
        <w:t>a(b+c) = ab + ac</w:t>
      </w:r>
      <w:r>
        <w:rPr>
          <w:rFonts w:ascii="Liberation Sans" w:hAnsi="Liberation Sans"/>
        </w:rPr>
        <w:t xml:space="preserve"> (multiplying out brackets and reversing the process by factorising). It provides insights into area, and vice versa. Its main role in mental methods is to chunk tricky numbers into helpful pieces, e.g. 39 x 7 = 30 x 7 + 9 x 7.</w:t>
        <w:br/>
        <w:br/>
      </w:r>
      <w:r>
        <w:rPr>
          <w:rFonts w:ascii="Liberation Sans" w:hAnsi="Liberation Sans"/>
        </w:rPr>
        <w:drawing>
          <wp:inline distT="0" distB="0" distL="0" distR="0">
            <wp:extent cx="4791075" cy="193357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8"/>
                    <a:stretch>
                      <a:fillRect/>
                    </a:stretch>
                  </pic:blipFill>
                  <pic:spPr bwMode="auto">
                    <a:xfrm>
                      <a:off x="0" y="0"/>
                      <a:ext cx="4791075" cy="1933575"/>
                    </a:xfrm>
                    <a:prstGeom prst="rect">
                      <a:avLst/>
                    </a:prstGeom>
                  </pic:spPr>
                </pic:pic>
              </a:graphicData>
            </a:graphic>
          </wp:inline>
        </w:drawing>
      </w:r>
      <w:r>
        <w:rPr>
          <w:rFonts w:ascii="Liberation Sans" w:hAnsi="Liberation Sans"/>
        </w:rPr>
        <w:br/>
        <w:br/>
        <w:t>The 'boxed set' features arising here are:</w:t>
      </w:r>
    </w:p>
    <w:p>
      <w:pPr>
        <w:pStyle w:val="TextBody"/>
        <w:spacing w:before="0" w:after="0"/>
        <w:rPr>
          <w:rFonts w:ascii="Liberation Sans" w:hAnsi="Liberation Sans"/>
        </w:rPr>
      </w:pPr>
      <w:r>
        <w:rPr>
          <w:rFonts w:ascii="Liberation Sans" w:hAnsi="Liberation Sans"/>
        </w:rPr>
        <w:tab/>
        <w:t>relations</w:t>
        <w:br/>
        <w:tab/>
        <w:t>equivalence</w:t>
        <w:br/>
        <w:tab/>
        <w:t>expressing situations</w:t>
        <w:br/>
        <w:tab/>
        <w:t>new from old</w:t>
        <w:br/>
        <w:tab/>
        <w:t>standard notation</w:t>
      </w:r>
    </w:p>
    <w:p>
      <w:pPr>
        <w:pStyle w:val="TextBody"/>
        <w:spacing w:before="0" w:after="0"/>
        <w:rPr>
          <w:rFonts w:ascii="Liberation Sans" w:hAnsi="Liberation Sans"/>
        </w:rPr>
      </w:pPr>
      <w:r>
        <w:rPr>
          <w:rFonts w:ascii="Liberation Sans" w:hAnsi="Liberation Sans"/>
        </w:rPr>
        <w:br/>
        <w:t>Finally, to return to the 'missing number' situations I referred to earlier, it is useful to have 'missing numbers' that have to be found by reasoning rather than directly by number bonds. For example, finding missing lengths of sides of rectilinear compound shapes requires some reasoning about equality of opposite sides. Deriving unknown angles of a triange or at a point requires reasoning about the relations between angles you have already been told, and the missing one. This kind of reasoning can be extended to finding the coordinates of the vertices of squares and rectangles on coordinate grids, and being asked questions such as: Can these vertices form a square, and if so what is the missing vertex: (</w:t>
      </w:r>
      <w:r>
        <w:rPr>
          <w:rFonts w:ascii="MathJax" w:hAnsi="MathJax"/>
        </w:rPr>
        <w:t>a, b</w:t>
      </w:r>
      <w:r>
        <w:rPr>
          <w:rFonts w:ascii="Liberation Sans" w:hAnsi="Liberation Sans"/>
        </w:rPr>
        <w:t>); (</w:t>
      </w:r>
      <w:r>
        <w:rPr>
          <w:rFonts w:ascii="MathJax" w:hAnsi="MathJax"/>
        </w:rPr>
        <w:t>a</w:t>
      </w:r>
      <w:r>
        <w:rPr>
          <w:rFonts w:ascii="Liberation Sans" w:hAnsi="Liberation Sans"/>
        </w:rPr>
        <w:t xml:space="preserve">+2, </w:t>
      </w:r>
      <w:r>
        <w:rPr>
          <w:rFonts w:ascii="MathJax" w:hAnsi="MathJax"/>
        </w:rPr>
        <w:t>b</w:t>
      </w:r>
      <w:r>
        <w:rPr>
          <w:rFonts w:ascii="Liberation Sans" w:hAnsi="Liberation Sans"/>
        </w:rPr>
        <w:t>+2); (</w:t>
      </w:r>
      <w:r>
        <w:rPr>
          <w:rFonts w:ascii="MathJax" w:hAnsi="MathJax"/>
        </w:rPr>
        <w:t>a</w:t>
      </w:r>
      <w:r>
        <w:rPr>
          <w:rFonts w:ascii="Liberation Sans" w:hAnsi="Liberation Sans"/>
        </w:rPr>
        <w:t xml:space="preserve">+4, </w:t>
      </w:r>
      <w:r>
        <w:rPr>
          <w:rFonts w:ascii="MathJax" w:hAnsi="MathJax"/>
        </w:rPr>
        <w:t>b</w:t>
      </w:r>
      <w:r>
        <w:rPr>
          <w:rFonts w:ascii="Liberation Sans" w:hAnsi="Liberation Sans"/>
        </w:rPr>
        <w:t>)? In this final question the 'boxed set' foci are:</w:t>
      </w:r>
    </w:p>
    <w:p>
      <w:pPr>
        <w:pStyle w:val="TextBody"/>
        <w:spacing w:before="0" w:after="0"/>
        <w:rPr>
          <w:rFonts w:ascii="Liberation Sans" w:hAnsi="Liberation Sans"/>
        </w:rPr>
      </w:pPr>
      <w:r>
        <w:rPr>
          <w:rFonts w:ascii="Liberation Sans" w:hAnsi="Liberation Sans"/>
        </w:rPr>
        <w:tab/>
        <w:t>relations</w:t>
        <w:br/>
        <w:tab/>
        <w:t>expressing situations</w:t>
        <w:br/>
        <w:tab/>
        <w:t>standard notation</w:t>
      </w:r>
    </w:p>
    <w:p>
      <w:pPr>
        <w:pStyle w:val="TextBody"/>
        <w:rPr>
          <w:rFonts w:ascii="Liberation Sans" w:hAnsi="Liberation Sans"/>
        </w:rPr>
      </w:pPr>
      <w:r>
        <w:rPr>
          <w:rFonts w:ascii="Liberation Sans" w:hAnsi="Liberation Sans"/>
        </w:rPr>
      </w:r>
    </w:p>
    <w:p>
      <w:pPr>
        <w:pStyle w:val="Heading3"/>
        <w:rPr>
          <w:rFonts w:ascii="Liberation Sans" w:hAnsi="Liberation Sans"/>
        </w:rPr>
      </w:pPr>
      <w:r>
        <w:rPr>
          <w:rFonts w:ascii="Liberation Sans" w:hAnsi="Liberation Sans"/>
        </w:rPr>
        <w:br/>
        <w:t>In summary ...</w:t>
      </w:r>
    </w:p>
    <w:p>
      <w:pPr>
        <w:pStyle w:val="TextBody"/>
        <w:spacing w:before="0" w:after="0"/>
        <w:rPr>
          <w:rFonts w:ascii="Liberation Sans" w:hAnsi="Liberation Sans"/>
        </w:rPr>
      </w:pPr>
      <w:r>
        <w:rPr>
          <w:rFonts w:ascii="Liberation Sans" w:hAnsi="Liberation Sans"/>
        </w:rPr>
        <w:t>By following through these threads of algebraic thinking from early primary through to secondary formal algebra we can ensure that children's mathem</w:t>
      </w:r>
      <w:r>
        <w:rPr>
          <w:rFonts w:ascii="Liberation Sans" w:hAnsi="Liberation Sans"/>
        </w:rPr>
        <w:t>a</w:t>
      </w:r>
      <w:r>
        <w:rPr>
          <w:rFonts w:ascii="Liberation Sans" w:hAnsi="Liberation Sans"/>
        </w:rPr>
        <w:t>tical experiences follow a continuous progression.</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Anne Watson was a member of the Advisory Group that consulted to ministers on the revised mathematics curriculum.</w:t>
      </w:r>
    </w:p>
    <w:sectPr>
      <w:headerReference w:type="default" r:id="rId9"/>
      <w:footerReference w:type="default" r:id="rId10"/>
      <w:type w:val="nextPage"/>
      <w:pgSz w:w="11906" w:h="16838"/>
      <w:pgMar w:left="1134" w:right="1134" w:header="1134" w:top="1700" w:footer="517" w:bottom="183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MathJax">
    <w:charset w:val="01"/>
    <w:family w:val="auto"/>
    <w:pitch w:val="default"/>
  </w:font>
  <w:font w:name="MathJax Main">
    <w:charset w:val="01"/>
    <w:family w:val="auto"/>
    <w:pitch w:val="default"/>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10906</w:t>
    </w:r>
  </w:p>
  <w:p>
    <w:pPr>
      <w:pStyle w:val="HeaderFooter"/>
      <w:rPr/>
    </w:pPr>
    <w:r>
      <w:rPr>
        <w:sz w:val="18"/>
        <w:szCs w:val="18"/>
      </w:rPr>
      <w:t xml:space="preserve">Published </w:t>
    </w:r>
    <w:r>
      <w:rPr>
        <w:sz w:val="18"/>
        <w:szCs w:val="18"/>
      </w:rPr>
      <w:t>June 2014</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13">
              <wp:simplePos x="0" y="0"/>
              <wp:positionH relativeFrom="column">
                <wp:posOffset>-149860</wp:posOffset>
              </wp:positionH>
              <wp:positionV relativeFrom="paragraph">
                <wp:posOffset>-542290</wp:posOffset>
              </wp:positionV>
              <wp:extent cx="6596380" cy="756920"/>
              <wp:effectExtent l="0" t="0" r="0" b="0"/>
              <wp:wrapTopAndBottom/>
              <wp:docPr id="7"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25">
              <wp:simplePos x="0" y="0"/>
              <wp:positionH relativeFrom="column">
                <wp:posOffset>2453005</wp:posOffset>
              </wp:positionH>
              <wp:positionV relativeFrom="paragraph">
                <wp:posOffset>-630555</wp:posOffset>
              </wp:positionV>
              <wp:extent cx="3829050" cy="804545"/>
              <wp:effectExtent l="0" t="0" r="0" b="0"/>
              <wp:wrapNone/>
              <wp:docPr id="8" name="Shape2"/>
              <a:graphic xmlns:a="http://schemas.openxmlformats.org/drawingml/2006/main">
                <a:graphicData uri="http://schemas.microsoft.com/office/word/2010/wordprocessingShape">
                  <wps:wsp>
                    <wps:cNvSpPr/>
                    <wps:spPr>
                      <a:xfrm>
                        <a:off x="0" y="0"/>
                        <a:ext cx="3828240" cy="80388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What's X Got to Do with It?</w:t>
                          </w:r>
                        </w:p>
                        <w:p>
                          <w:pPr>
                            <w:pStyle w:val="FrameContents"/>
                            <w:overflowPunct w:val="false"/>
                            <w:bidi w:val="0"/>
                            <w:jc w:val="right"/>
                            <w:rPr>
                              <w:rFonts w:ascii="Tahoma" w:hAnsi="Tahoma"/>
                              <w:b/>
                              <w:b/>
                              <w:bCs/>
                              <w:color w:val="FFFFFF"/>
                              <w:sz w:val="20"/>
                              <w:szCs w:val="20"/>
                            </w:rPr>
                          </w:pPr>
                          <w:r>
                            <w:rPr>
                              <w:rFonts w:ascii="Tahoma" w:hAnsi="Tahoma"/>
                              <w:b/>
                              <w:bCs/>
                              <w:color w:val="FFFFFF"/>
                              <w:sz w:val="20"/>
                              <w:szCs w:val="20"/>
                            </w:rPr>
                            <w:t xml:space="preserve">By </w:t>
                          </w:r>
                          <w:r>
                            <w:rPr>
                              <w:rStyle w:val="StrongEmphasis"/>
                              <w:rFonts w:ascii="Tahoma" w:hAnsi="Tahoma"/>
                              <w:color w:val="FFFFFF"/>
                              <w:sz w:val="20"/>
                              <w:szCs w:val="20"/>
                            </w:rPr>
                            <w:t>Anne Watson (Emeritus Professor of Mathematics Education, University of Oxford)</w:t>
                          </w:r>
                        </w:p>
                      </w:txbxContent>
                    </wps:txbx>
                    <wps:bodyPr lIns="0" rIns="0" tIns="0" bIns="0">
                      <a:spAutoFit/>
                    </wps:bodyPr>
                  </wps:wsp>
                </a:graphicData>
              </a:graphic>
            </wp:anchor>
          </w:drawing>
        </mc:Choice>
        <mc:Fallback>
          <w:pict>
            <v:rect id="shape_0" ID="Shape2" stroked="f" style="position:absolute;margin-left:193.15pt;margin-top:-49.65pt;width:301.4pt;height:63.25pt">
              <w10:wrap type="square"/>
              <v:fill o:detectmouseclick="t" on="false"/>
              <v:stroke color="#3465a4" joinstyle="round" endcap="flat"/>
              <v:textbo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What's X Got to Do with It?</w:t>
                    </w:r>
                  </w:p>
                  <w:p>
                    <w:pPr>
                      <w:pStyle w:val="FrameContents"/>
                      <w:overflowPunct w:val="false"/>
                      <w:bidi w:val="0"/>
                      <w:jc w:val="right"/>
                      <w:rPr>
                        <w:rFonts w:ascii="Tahoma" w:hAnsi="Tahoma"/>
                        <w:b/>
                        <w:b/>
                        <w:bCs/>
                        <w:color w:val="FFFFFF"/>
                        <w:sz w:val="20"/>
                        <w:szCs w:val="20"/>
                      </w:rPr>
                    </w:pPr>
                    <w:r>
                      <w:rPr>
                        <w:rFonts w:ascii="Tahoma" w:hAnsi="Tahoma"/>
                        <w:b/>
                        <w:bCs/>
                        <w:color w:val="FFFFFF"/>
                        <w:sz w:val="20"/>
                        <w:szCs w:val="20"/>
                      </w:rPr>
                      <w:t xml:space="preserve">By </w:t>
                    </w:r>
                    <w:r>
                      <w:rPr>
                        <w:rStyle w:val="StrongEmphasis"/>
                        <w:rFonts w:ascii="Tahoma" w:hAnsi="Tahoma"/>
                        <w:color w:val="FFFFFF"/>
                        <w:sz w:val="20"/>
                        <w:szCs w:val="20"/>
                      </w:rPr>
                      <w:t>Anne Watson (Emeritus Professor of Mathematics Education, University of Oxford)</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3">
    <w:name w:val="Heading 3"/>
    <w:basedOn w:val="Heading"/>
    <w:next w:val="TextBody"/>
    <w:qFormat/>
    <w:pPr>
      <w:spacing w:before="140" w:after="120"/>
      <w:outlineLvl w:val="2"/>
    </w:pPr>
    <w:rPr>
      <w:rFonts w:ascii="Liberation Serif" w:hAnsi="Liberation Serif" w:eastAsia="Source Han Sans CN Regular" w:cs="Lohit Devanagari"/>
      <w:b/>
      <w:bCs/>
      <w:sz w:val="28"/>
      <w:szCs w:val="28"/>
    </w:rPr>
  </w:style>
  <w:style w:type="paragraph" w:styleId="Heading4">
    <w:name w:val="Heading 4"/>
    <w:basedOn w:val="Heading"/>
    <w:next w:val="TextBody"/>
    <w:qFormat/>
    <w:pPr>
      <w:spacing w:before="120" w:after="120"/>
      <w:outlineLvl w:val="3"/>
    </w:pPr>
    <w:rPr>
      <w:rFonts w:ascii="Liberation Serif" w:hAnsi="Liberation Serif" w:eastAsia="Source Han Sans CN Regular" w:cs="Lohit Devanagari"/>
      <w:b/>
      <w:bCs/>
      <w:sz w:val="24"/>
      <w:szCs w:val="24"/>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uffieldfoundation.org/sites/default/files/P6.pdf"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
  <TotalTime>46</TotalTime>
  <Application>LibreOffice/5.4.7.2$Linux_X86_64 LibreOffice_project/40$Build-2</Application>
  <Pages>12</Pages>
  <Words>3256</Words>
  <Characters>16418</Characters>
  <CharactersWithSpaces>19741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2018-06-13T16:48:46Z</dcterms:modified>
  <cp:revision>16</cp:revision>
  <dc:subject/>
  <dc:title/>
</cp:coreProperties>
</file>