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6.png" ContentType="image/png"/>
  <Override PartName="/word/media/image5.png" ContentType="image/png"/>
  <Override PartName="/word/media/image4.jpeg" ContentType="image/jpeg"/>
  <Override PartName="/word/media/image3.png" ContentType="image/png"/>
  <Override PartName="/word/media/image1.png" ContentType="image/png"/>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Style w:val="Emphasis"/>
          <w:rFonts w:ascii="Liberation Sans" w:hAnsi="Liberation Sans"/>
        </w:rPr>
        <w:t xml:space="preserve">Before reading this article, you may like to read </w:t>
      </w:r>
      <w:hyperlink r:id="rId2">
        <w:r>
          <w:rPr>
            <w:rStyle w:val="Emphasis"/>
            <w:rFonts w:ascii="Liberation Sans" w:hAnsi="Liberation Sans"/>
          </w:rPr>
          <w:t>Manipulatives in the Primary Classroom</w:t>
        </w:r>
      </w:hyperlink>
      <w:r>
        <w:rPr>
          <w:rStyle w:val="Emphasis"/>
          <w:rFonts w:ascii="Liberation Sans" w:hAnsi="Liberation Sans"/>
        </w:rPr>
        <w:t xml:space="preserve"> which offers research-based guidance about using hands-on equipment in the teaching and learning of mathematics.</w:t>
      </w:r>
      <w:r>
        <w:rPr>
          <w:rFonts w:ascii="Liberation Sans" w:hAnsi="Liberation Sans"/>
        </w:rPr>
        <w:br/>
        <w:br/>
        <w:t xml:space="preserve">Interlocking cubes are a versatile resource which are powerful for modelling the mathematics of problems and are therefore a must-have for all primary classrooms. Unlike, for example, Dienes apparatus or Cuisenaire rods, interlocking cubes have no underlying mathematical structure, so offer us a great deal of flexibility, meaning they can often be used to suit the particular problem in hand. In this article, I will outline four different ways in which cubes can support children in their ability to work mathematically and I will suggest tasks that exemplify each, all of which can be found in our </w:t>
      </w:r>
      <w:hyperlink r:id="rId3">
        <w:r>
          <w:rPr>
            <w:rStyle w:val="InternetLink"/>
            <w:rFonts w:ascii="Liberation Sans" w:hAnsi="Liberation Sans"/>
          </w:rPr>
          <w:t>Cubes Feature</w:t>
        </w:r>
      </w:hyperlink>
      <w:r>
        <w:rPr>
          <w:rFonts w:ascii="Liberation Sans" w:hAnsi="Liberation Sans"/>
        </w:rPr>
        <w:t>.</w:t>
        <w:br/>
        <w:br/>
      </w:r>
      <w:r>
        <w:rPr>
          <w:rStyle w:val="StrongEmphasis"/>
          <w:rFonts w:ascii="Liberation Sans" w:hAnsi="Liberation Sans"/>
        </w:rPr>
        <w:t>1. Developing conceptual understanding</w:t>
      </w:r>
      <w:r>
        <w:rPr>
          <w:rFonts w:ascii="Liberation Sans" w:hAnsi="Liberation Sans"/>
        </w:rPr>
        <w:br/>
        <w:t>Cubes have the potential to support understanding of conceptual understanding through helping us model and visualise mathematics.</w:t>
        <w:br/>
        <w:br/>
        <w:t>Creating physical models out of cubes, which almost all our chosen tasks involve, will help learners develop their spatial awareness in a very general sense and, if given opportunities to talk about what they are doing, children will become more fluent in their use of positional and spatial language. In addition, the process of building and pulling apart can support understanding of specific concepts such as surface area and scaling.</w:t>
        <w:br/>
      </w:r>
      <w:r>
        <w:rPr>
          <w:rFonts w:ascii="Liberation Sans" w:hAnsi="Liberation Sans"/>
        </w:rPr>
        <w:br/>
        <w:drawing>
          <wp:anchor behindDoc="0" distT="95250" distB="95250" distL="95250" distR="95250" simplePos="0" locked="0" layoutInCell="1" allowOverlap="1" relativeHeight="11">
            <wp:simplePos x="0" y="0"/>
            <wp:positionH relativeFrom="column">
              <wp:align>left</wp:align>
            </wp:positionH>
            <wp:positionV relativeFrom="line">
              <wp:align>bottom</wp:align>
            </wp:positionV>
            <wp:extent cx="952500" cy="9525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The lower primary task, </w:t>
      </w:r>
      <w:hyperlink r:id="rId5">
        <w:r>
          <w:rPr>
            <w:rStyle w:val="InternetLink"/>
            <w:rFonts w:ascii="Liberation Sans" w:hAnsi="Liberation Sans"/>
          </w:rPr>
          <w:t>Building with Cubes</w:t>
        </w:r>
      </w:hyperlink>
      <w:r>
        <w:rPr>
          <w:rFonts w:ascii="Liberation Sans" w:hAnsi="Liberation Sans"/>
        </w:rPr>
        <w:t xml:space="preserve">, will help familiarise learners with positional language as they are challenged to make a 'building', which is described to them orally. </w:t>
      </w:r>
      <w:hyperlink r:id="rId6">
        <w:r>
          <w:rPr>
            <w:rStyle w:val="InternetLink"/>
            <w:rFonts w:ascii="Liberation Sans" w:hAnsi="Liberation Sans"/>
          </w:rPr>
          <w:t>Chairs and Tables</w:t>
        </w:r>
      </w:hyperlink>
      <w:r>
        <w:rPr>
          <w:rFonts w:ascii="Liberation Sans" w:hAnsi="Liberation Sans"/>
        </w:rPr>
        <w:t xml:space="preserve"> offers the story of 'Goldilocks and the Three Bears' as a context in which to focus on the idea of relative size. The challenge is to create a chair for each of the three bears and then a table for each chair. </w:t>
      </w:r>
      <w:hyperlink r:id="rId7">
        <w:r>
          <w:rPr>
            <w:rStyle w:val="InternetLink"/>
            <w:rFonts w:ascii="Liberation Sans" w:hAnsi="Liberation Sans"/>
          </w:rPr>
          <w:t>Brush Loads</w:t>
        </w:r>
      </w:hyperlink>
      <w:r>
        <w:rPr>
          <w:rFonts w:ascii="Liberation Sans" w:hAnsi="Liberation Sans"/>
        </w:rPr>
        <w:t xml:space="preserve"> is a higher-level task, but still very accessible, which invites pupils to create different arrangements of five cubes and to investigate the number of 'brush loads' of paint needed to cover each. It could be used to introduce learners to the concept of surface area.</w:t>
        <w:br/>
        <w:br/>
        <w:t xml:space="preserve">Giving children chances to use interlocking cubes to represent numbers will deepen their understanding of number properties and equip them with a mental image to draw upon subsequently. </w:t>
      </w:r>
      <w:hyperlink r:id="rId8">
        <w:r>
          <w:rPr>
            <w:rStyle w:val="InternetLink"/>
            <w:rFonts w:ascii="Liberation Sans" w:hAnsi="Liberation Sans"/>
          </w:rPr>
          <w:t>Numbers as Shapes</w:t>
        </w:r>
      </w:hyperlink>
      <w:r>
        <w:rPr>
          <w:rFonts w:ascii="Liberation Sans" w:hAnsi="Liberation Sans"/>
        </w:rPr>
        <w:t xml:space="preserve"> offers visual images for prime numbers and square numbers; the group task </w:t>
      </w:r>
      <w:hyperlink r:id="rId9">
        <w:r>
          <w:rPr>
            <w:rStyle w:val="InternetLink"/>
            <w:rFonts w:ascii="Liberation Sans" w:hAnsi="Liberation Sans"/>
          </w:rPr>
          <w:t>Even and Odd</w:t>
        </w:r>
      </w:hyperlink>
      <w:r>
        <w:rPr>
          <w:rFonts w:ascii="Liberation Sans" w:hAnsi="Liberation Sans"/>
        </w:rPr>
        <w:t xml:space="preserve"> gives learners a way of 'seeing' even and odd numbers (as the name suggests!) and </w:t>
      </w:r>
      <w:hyperlink r:id="rId10">
        <w:r>
          <w:rPr>
            <w:rStyle w:val="InternetLink"/>
            <w:rFonts w:ascii="Liberation Sans" w:hAnsi="Liberation Sans"/>
          </w:rPr>
          <w:t>Making Sticks</w:t>
        </w:r>
      </w:hyperlink>
      <w:r>
        <w:rPr>
          <w:rFonts w:ascii="Liberation Sans" w:hAnsi="Liberation Sans"/>
        </w:rPr>
        <w:t xml:space="preserve"> encourages children to explore the concept of multiples in a practical way.</w:t>
        <w:br/>
        <w:br/>
      </w:r>
      <w:r>
        <w:rPr>
          <w:rStyle w:val="StrongEmphasis"/>
          <w:rFonts w:ascii="Liberation Sans" w:hAnsi="Liberation Sans"/>
        </w:rPr>
        <w:t>2. Developing problem-solving skills</w:t>
      </w:r>
      <w:r>
        <w:rPr>
          <w:rFonts w:ascii="Liberation Sans" w:hAnsi="Liberation Sans"/>
        </w:rPr>
        <w:br/>
        <w:t xml:space="preserve">In her article </w:t>
      </w:r>
      <w:hyperlink r:id="rId11">
        <w:r>
          <w:rPr>
            <w:rStyle w:val="InternetLink"/>
            <w:rFonts w:ascii="Liberation Sans" w:hAnsi="Liberation Sans"/>
          </w:rPr>
          <w:t>Developing Excellence in Problem Solving with Young Learners</w:t>
        </w:r>
      </w:hyperlink>
      <w:r>
        <w:rPr>
          <w:rFonts w:ascii="Liberation Sans" w:hAnsi="Liberation Sans"/>
        </w:rPr>
        <w:t>, Jennie Pennant suggests that one way in which we can support children in becoming confident and competent problem solvers is by ‘explicitly and repeatedly providing children with opportunities to develop key problem-solving skills’. In the tasks we have chosen, interlocking cubes are a useful context in which to encourage development of a number of different problem-solving skills, including working systematically, pattern spotting, generalising and visualising.</w:t>
        <w:br/>
        <w:br/>
      </w:r>
      <w:r>
        <w:rPr>
          <w:rStyle w:val="Emphasis"/>
          <w:rFonts w:ascii="Liberation Sans" w:hAnsi="Liberation Sans"/>
        </w:rPr>
        <w:t>Working systematically</w:t>
      </w:r>
      <w:r>
        <w:rPr>
          <w:rFonts w:ascii="Liberation Sans" w:hAnsi="Liberation Sans"/>
        </w:rPr>
        <w:br/>
        <w:drawing>
          <wp:anchor behindDoc="0" distT="95250" distB="95250" distL="95250" distR="95250" simplePos="0" locked="0" layoutInCell="1" allowOverlap="1" relativeHeight="12">
            <wp:simplePos x="0" y="0"/>
            <wp:positionH relativeFrom="column">
              <wp:align>right</wp:align>
            </wp:positionH>
            <wp:positionV relativeFrom="line">
              <wp:align>bottom</wp:align>
            </wp:positionV>
            <wp:extent cx="971550" cy="97155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2"/>
                    <a:stretch>
                      <a:fillRect/>
                    </a:stretch>
                  </pic:blipFill>
                  <pic:spPr bwMode="auto">
                    <a:xfrm>
                      <a:off x="0" y="0"/>
                      <a:ext cx="971550" cy="971550"/>
                    </a:xfrm>
                    <a:prstGeom prst="rect">
                      <a:avLst/>
                    </a:prstGeom>
                    <a:ln w="9525">
                      <a:solidFill>
                        <a:srgbClr val="000080"/>
                      </a:solidFill>
                    </a:ln>
                  </pic:spPr>
                </pic:pic>
              </a:graphicData>
            </a:graphic>
          </wp:anchor>
        </w:drawing>
      </w:r>
      <w:hyperlink r:id="rId13">
        <w:r>
          <w:rPr>
            <w:rStyle w:val="InternetLink"/>
            <w:rFonts w:ascii="Liberation Sans" w:hAnsi="Liberation Sans"/>
          </w:rPr>
          <w:t>3 Blocks Towers</w:t>
        </w:r>
      </w:hyperlink>
      <w:r>
        <w:rPr>
          <w:rFonts w:ascii="Liberation Sans" w:hAnsi="Liberation Sans"/>
        </w:rPr>
        <w:t xml:space="preserve"> is a 'finding all possibilities' problem which, because it can be done practically, is accessible to the majority of children. Making many different towers with the cubes allows learners to compare them by asking themselves 'what's the same?' and 'what's different?'. The ability to distinguish similarities and differences is a vital ingredient in working systematically. By ordering according to similarities, children can impose a system on the towers they have made, which helps to reveal those that are missing. Once they have had opportunities to do this sorting and ordering in many contexts, learners will be able to create examples in a systematic way from the start. </w:t>
      </w:r>
      <w:hyperlink r:id="rId14">
        <w:r>
          <w:rPr>
            <w:rStyle w:val="InternetLink"/>
            <w:rFonts w:ascii="Liberation Sans" w:hAnsi="Liberation Sans"/>
          </w:rPr>
          <w:t>Cubes Here and There</w:t>
        </w:r>
      </w:hyperlink>
      <w:r>
        <w:rPr>
          <w:rFonts w:ascii="Liberation Sans" w:hAnsi="Liberation Sans"/>
        </w:rPr>
        <w:t xml:space="preserve"> is a more challenging task but the aim, and therefore the process, is the same - to find all solutions. Both these activities also contribute to children's developing spatial properties in a general sense, as outlined above. (See our </w:t>
      </w:r>
      <w:hyperlink r:id="rId15">
        <w:r>
          <w:rPr>
            <w:rStyle w:val="InternetLink"/>
            <w:rFonts w:ascii="Liberation Sans" w:hAnsi="Liberation Sans"/>
          </w:rPr>
          <w:t>Working Systematically Feature</w:t>
        </w:r>
      </w:hyperlink>
      <w:r>
        <w:rPr>
          <w:rFonts w:ascii="Liberation Sans" w:hAnsi="Liberation Sans"/>
        </w:rPr>
        <w:t xml:space="preserve"> for more information on ways to develop this problem-solving skill.)</w:t>
        <w:br/>
        <w:br/>
      </w:r>
      <w:r>
        <w:rPr>
          <w:rStyle w:val="Emphasis"/>
          <w:rFonts w:ascii="Liberation Sans" w:hAnsi="Liberation Sans"/>
        </w:rPr>
        <w:t>Pattern spotting and generalising</w:t>
      </w:r>
      <w:r>
        <w:rPr>
          <w:rFonts w:ascii="Liberation Sans" w:hAnsi="Liberation Sans"/>
        </w:rPr>
        <w:br/>
        <w:drawing>
          <wp:anchor behindDoc="0" distT="95250" distB="95250" distL="95250" distR="95250" simplePos="0" locked="0" layoutInCell="1" allowOverlap="1" relativeHeight="13">
            <wp:simplePos x="0" y="0"/>
            <wp:positionH relativeFrom="column">
              <wp:align>left</wp:align>
            </wp:positionH>
            <wp:positionV relativeFrom="line">
              <wp:align>bottom</wp:align>
            </wp:positionV>
            <wp:extent cx="952500" cy="95250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6"/>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It can be tempting to ask children to look for number patterns without giving them opportunities to find out why those patterns occur. Using interlocking cubes for this purpose supports learners, partly because of the visual clues, but also due to the fact that in the process of physically creating, patterns may become more evident. </w:t>
      </w:r>
      <w:hyperlink r:id="rId17">
        <w:r>
          <w:rPr>
            <w:rStyle w:val="InternetLink"/>
            <w:rFonts w:ascii="Liberation Sans" w:hAnsi="Liberation Sans"/>
          </w:rPr>
          <w:t>Up and Down Staircases</w:t>
        </w:r>
      </w:hyperlink>
      <w:r>
        <w:rPr>
          <w:rFonts w:ascii="Liberation Sans" w:hAnsi="Liberation Sans"/>
        </w:rPr>
        <w:t xml:space="preserve"> and </w:t>
      </w:r>
      <w:hyperlink r:id="rId18">
        <w:r>
          <w:rPr>
            <w:rStyle w:val="InternetLink"/>
            <w:rFonts w:ascii="Liberation Sans" w:hAnsi="Liberation Sans"/>
          </w:rPr>
          <w:t>Picture a Pyramid ...</w:t>
        </w:r>
      </w:hyperlink>
      <w:r>
        <w:rPr>
          <w:rFonts w:ascii="Liberation Sans" w:hAnsi="Liberation Sans"/>
        </w:rPr>
        <w:t xml:space="preserve"> are good examples of such tasks.</w:t>
        <w:br/>
        <w:br/>
      </w:r>
      <w:r>
        <w:rPr>
          <w:rStyle w:val="Emphasis"/>
          <w:rFonts w:ascii="Liberation Sans" w:hAnsi="Liberation Sans"/>
        </w:rPr>
        <w:t>Visualising</w:t>
      </w:r>
      <w:r>
        <w:rPr>
          <w:rFonts w:ascii="Liberation Sans" w:hAnsi="Liberation Sans"/>
        </w:rPr>
        <w:br/>
        <w:t xml:space="preserve">In section 1 above, we suggested that cubes can help children to visualise mathematical concepts. Visualising is also a useful problem-solving skill but it is perhaps not so well recognised in that context. Specifically giving children opportunities to visualise, as in </w:t>
      </w:r>
      <w:hyperlink r:id="rId19">
        <w:r>
          <w:rPr>
            <w:rStyle w:val="InternetLink"/>
            <w:rFonts w:ascii="Liberation Sans" w:hAnsi="Liberation Sans"/>
          </w:rPr>
          <w:t>Building with Cubes</w:t>
        </w:r>
      </w:hyperlink>
      <w:r>
        <w:rPr>
          <w:rFonts w:ascii="Liberation Sans" w:hAnsi="Liberation Sans"/>
        </w:rPr>
        <w:t xml:space="preserve">, will give you chances to talk about what it means and how it is useful, so that learners become more accustomed to using it themselves as they tackle problems. In </w:t>
      </w:r>
      <w:hyperlink r:id="rId20">
        <w:r>
          <w:rPr>
            <w:rStyle w:val="InternetLink"/>
            <w:rFonts w:ascii="Liberation Sans" w:hAnsi="Liberation Sans"/>
          </w:rPr>
          <w:t>Up and Down Staircases</w:t>
        </w:r>
      </w:hyperlink>
      <w:r>
        <w:rPr>
          <w:rFonts w:ascii="Liberation Sans" w:hAnsi="Liberation Sans"/>
        </w:rPr>
        <w:t>, the interactive in the ‘Getting started’ section may encourage children to try and visualise why the total number of cubes is always a square number.</w:t>
        <w:br/>
        <w:br/>
      </w:r>
      <w:r>
        <w:rPr>
          <w:rStyle w:val="StrongEmphasis"/>
          <w:rFonts w:ascii="Liberation Sans" w:hAnsi="Liberation Sans"/>
        </w:rPr>
        <w:t>3. Fluency</w:t>
      </w:r>
      <w:r>
        <w:rPr>
          <w:rFonts w:ascii="Liberation Sans" w:hAnsi="Liberation Sans"/>
        </w:rPr>
        <w:br/>
        <w:drawing>
          <wp:anchor behindDoc="0" distT="95250" distB="95250" distL="95250" distR="95250" simplePos="0" locked="0" layoutInCell="1" allowOverlap="1" relativeHeight="14">
            <wp:simplePos x="0" y="0"/>
            <wp:positionH relativeFrom="column">
              <wp:align>left</wp:align>
            </wp:positionH>
            <wp:positionV relativeFrom="line">
              <wp:align>bottom</wp:align>
            </wp:positionV>
            <wp:extent cx="952500" cy="95250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21"/>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Helping children to create mental images, as described in the first section about number concept development, will aid their ability to become fluent in number. At first, learners use cubes to create physical models of numbers (as in </w:t>
      </w:r>
      <w:hyperlink r:id="rId22">
        <w:r>
          <w:rPr>
            <w:rStyle w:val="InternetLink"/>
            <w:rFonts w:ascii="Liberation Sans" w:hAnsi="Liberation Sans"/>
          </w:rPr>
          <w:t>Numbers as Shapes</w:t>
        </w:r>
      </w:hyperlink>
      <w:r>
        <w:rPr>
          <w:rFonts w:ascii="Liberation Sans" w:hAnsi="Liberation Sans"/>
        </w:rPr>
        <w:t xml:space="preserve">, </w:t>
      </w:r>
      <w:hyperlink r:id="rId23">
        <w:r>
          <w:rPr>
            <w:rStyle w:val="InternetLink"/>
            <w:rFonts w:ascii="Liberation Sans" w:hAnsi="Liberation Sans"/>
          </w:rPr>
          <w:t>Even and Odd</w:t>
        </w:r>
      </w:hyperlink>
      <w:r>
        <w:rPr>
          <w:rFonts w:ascii="Liberation Sans" w:hAnsi="Liberation Sans"/>
        </w:rPr>
        <w:t xml:space="preserve"> and </w:t>
      </w:r>
      <w:hyperlink r:id="rId24">
        <w:r>
          <w:rPr>
            <w:rStyle w:val="InternetLink"/>
            <w:rFonts w:ascii="Liberation Sans" w:hAnsi="Liberation Sans"/>
          </w:rPr>
          <w:t>Making Sticks</w:t>
        </w:r>
      </w:hyperlink>
      <w:r>
        <w:rPr>
          <w:rFonts w:ascii="Liberation Sans" w:hAnsi="Liberation Sans"/>
        </w:rPr>
        <w:t xml:space="preserve">), exploring these over a long period of time. We must then help them make the links to mental work and recording. This move from concrete to abstract is a key part of helping children to become more fluent (see our article </w:t>
      </w:r>
      <w:hyperlink r:id="rId25">
        <w:r>
          <w:rPr>
            <w:rStyle w:val="InternetLink"/>
            <w:rFonts w:ascii="Liberation Sans" w:hAnsi="Liberation Sans"/>
          </w:rPr>
          <w:t>Developing Number Fluency – What, Why and How</w:t>
        </w:r>
      </w:hyperlink>
      <w:r>
        <w:rPr>
          <w:rFonts w:ascii="Liberation Sans" w:hAnsi="Liberation Sans"/>
        </w:rPr>
        <w:t>).</w:t>
        <w:br/>
        <w:br/>
        <w:t xml:space="preserve">Offering children opportunities of consolidation in meaningful contexts is another way to improve fluency. For example, as learners tackle </w:t>
      </w:r>
      <w:hyperlink r:id="rId26">
        <w:r>
          <w:rPr>
            <w:rStyle w:val="InternetLink"/>
            <w:rFonts w:ascii="Liberation Sans" w:hAnsi="Liberation Sans"/>
          </w:rPr>
          <w:t>Brush Loads</w:t>
        </w:r>
      </w:hyperlink>
      <w:r>
        <w:rPr>
          <w:rFonts w:ascii="Liberation Sans" w:hAnsi="Liberation Sans"/>
        </w:rPr>
        <w:t>, the act of counting the number of brush loads for each arrangement of cubes means they are constantly practising how to find surface area. This is meaningful because they have the goal of maximising in mind, they are not finding each surface area simply for the sake of it.</w:t>
        <w:br/>
      </w:r>
      <w:r>
        <w:rPr>
          <w:rStyle w:val="StrongEmphasis"/>
          <w:rFonts w:ascii="Liberation Sans" w:hAnsi="Liberation Sans"/>
        </w:rPr>
        <w:t>4. Reasoning</w:t>
      </w:r>
      <w:r>
        <w:drawing>
          <wp:anchor behindDoc="0" distT="95250" distB="95250" distL="95250" distR="95250" simplePos="0" locked="0" layoutInCell="1" allowOverlap="1" relativeHeight="15">
            <wp:simplePos x="0" y="0"/>
            <wp:positionH relativeFrom="column">
              <wp:align>right</wp:align>
            </wp:positionH>
            <wp:positionV relativeFrom="line">
              <wp:align>bottom</wp:align>
            </wp:positionV>
            <wp:extent cx="952500" cy="952500"/>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27"/>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 xml:space="preserve">The activities in </w:t>
      </w:r>
      <w:hyperlink r:id="rId28">
        <w:r>
          <w:rPr>
            <w:rStyle w:val="InternetLink"/>
            <w:rFonts w:ascii="Liberation Sans" w:hAnsi="Liberation Sans"/>
          </w:rPr>
          <w:t>this Cubes Feature</w:t>
        </w:r>
      </w:hyperlink>
      <w:r>
        <w:rPr>
          <w:rFonts w:ascii="Liberation Sans" w:hAnsi="Liberation Sans"/>
        </w:rPr>
        <w:t xml:space="preserve"> offer opportunities for children to reason in different ways and for different purposes.</w:t>
        <w:br/>
        <w:br/>
      </w:r>
      <w:hyperlink r:id="rId29">
        <w:r>
          <w:rPr>
            <w:rStyle w:val="InternetLink"/>
            <w:rFonts w:ascii="Liberation Sans" w:hAnsi="Liberation Sans"/>
          </w:rPr>
          <w:t>Chairs and Tables</w:t>
        </w:r>
      </w:hyperlink>
      <w:r>
        <w:rPr>
          <w:rFonts w:ascii="Liberation Sans" w:hAnsi="Liberation Sans"/>
        </w:rPr>
        <w:t xml:space="preserve"> presents a range of starting points and no one ‘right’ answer, meaning that learners have to reason simply to get started on the task. </w:t>
      </w:r>
      <w:hyperlink r:id="rId30">
        <w:r>
          <w:rPr>
            <w:rStyle w:val="InternetLink"/>
            <w:rFonts w:ascii="Liberation Sans" w:hAnsi="Liberation Sans"/>
          </w:rPr>
          <w:t>Even and Odd</w:t>
        </w:r>
      </w:hyperlink>
      <w:r>
        <w:rPr>
          <w:rFonts w:ascii="Liberation Sans" w:hAnsi="Liberation Sans"/>
        </w:rPr>
        <w:t xml:space="preserve"> is a group task, so not only are you reasoning yourself, you are trying to understand the reasoning of other members of your group, all without being able to speak! </w:t>
      </w:r>
      <w:hyperlink r:id="rId31">
        <w:r>
          <w:rPr>
            <w:rStyle w:val="InternetLink"/>
            <w:rFonts w:ascii="Liberation Sans" w:hAnsi="Liberation Sans"/>
          </w:rPr>
          <w:t>3 Blocks Towers</w:t>
        </w:r>
      </w:hyperlink>
      <w:r>
        <w:rPr>
          <w:rFonts w:ascii="Liberation Sans" w:hAnsi="Liberation Sans"/>
        </w:rPr>
        <w:t xml:space="preserve"> and </w:t>
      </w:r>
      <w:hyperlink r:id="rId32">
        <w:r>
          <w:rPr>
            <w:rStyle w:val="InternetLink"/>
            <w:rFonts w:ascii="Liberation Sans" w:hAnsi="Liberation Sans"/>
          </w:rPr>
          <w:t>Cubes Here and There</w:t>
        </w:r>
      </w:hyperlink>
      <w:r>
        <w:rPr>
          <w:rFonts w:ascii="Liberation Sans" w:hAnsi="Liberation Sans"/>
        </w:rPr>
        <w:t xml:space="preserve"> involve logical reasoning in explaining how you know that you have found all the solutions. In Building with Cubes, you have to use reasoning to make sense of the information which is given, bit by bit. </w:t>
      </w:r>
      <w:hyperlink r:id="rId33">
        <w:r>
          <w:rPr>
            <w:rStyle w:val="InternetLink"/>
            <w:rFonts w:ascii="Liberation Sans" w:hAnsi="Liberation Sans"/>
          </w:rPr>
          <w:t>Numbers as Shapes</w:t>
        </w:r>
      </w:hyperlink>
      <w:r>
        <w:rPr>
          <w:rFonts w:ascii="Liberation Sans" w:hAnsi="Liberation Sans"/>
        </w:rPr>
        <w:t xml:space="preserve">, </w:t>
      </w:r>
      <w:hyperlink r:id="rId34">
        <w:r>
          <w:rPr>
            <w:rStyle w:val="InternetLink"/>
            <w:rFonts w:ascii="Liberation Sans" w:hAnsi="Liberation Sans"/>
          </w:rPr>
          <w:t>Making Sticks</w:t>
        </w:r>
      </w:hyperlink>
      <w:r>
        <w:rPr>
          <w:rFonts w:ascii="Liberation Sans" w:hAnsi="Liberation Sans"/>
        </w:rPr>
        <w:t xml:space="preserve">, </w:t>
      </w:r>
      <w:hyperlink r:id="rId35">
        <w:r>
          <w:rPr>
            <w:rStyle w:val="InternetLink"/>
            <w:rFonts w:ascii="Liberation Sans" w:hAnsi="Liberation Sans"/>
          </w:rPr>
          <w:t>Up and Down Staircases</w:t>
        </w:r>
      </w:hyperlink>
      <w:r>
        <w:rPr>
          <w:rFonts w:ascii="Liberation Sans" w:hAnsi="Liberation Sans"/>
        </w:rPr>
        <w:t xml:space="preserve">, </w:t>
      </w:r>
      <w:hyperlink r:id="rId36">
        <w:r>
          <w:rPr>
            <w:rStyle w:val="InternetLink"/>
            <w:rFonts w:ascii="Liberation Sans" w:hAnsi="Liberation Sans"/>
          </w:rPr>
          <w:t>Brush Loads</w:t>
        </w:r>
      </w:hyperlink>
      <w:r>
        <w:rPr>
          <w:rFonts w:ascii="Liberation Sans" w:hAnsi="Liberation Sans"/>
        </w:rPr>
        <w:t xml:space="preserve"> and </w:t>
      </w:r>
      <w:hyperlink r:id="rId37">
        <w:r>
          <w:rPr>
            <w:rStyle w:val="InternetLink"/>
            <w:rFonts w:ascii="Liberation Sans" w:hAnsi="Liberation Sans"/>
          </w:rPr>
          <w:t>Picture a Pyramid ...</w:t>
        </w:r>
      </w:hyperlink>
      <w:r>
        <w:rPr>
          <w:rFonts w:ascii="Liberation Sans" w:hAnsi="Liberation Sans"/>
        </w:rPr>
        <w:t xml:space="preserve"> all demand generalisations, which necessarily involve reasoning.</w:t>
        <w:br/>
        <w:br/>
        <w:br/>
      </w:r>
      <w:r>
        <w:rPr>
          <w:rStyle w:val="StrongEmphasis"/>
          <w:rFonts w:ascii="Liberation Sans" w:hAnsi="Liberation Sans"/>
        </w:rPr>
        <w:t>Interlocking cubes and the new national curriculum in England</w:t>
      </w:r>
      <w:r>
        <w:rPr>
          <w:rFonts w:ascii="Liberation Sans" w:hAnsi="Liberation Sans"/>
        </w:rPr>
        <w:br/>
        <w:t xml:space="preserve">Those of us teaching in England are currently (May 2014) in the transition phase between old and new national curricular. The </w:t>
      </w:r>
      <w:hyperlink r:id="rId38" w:tgtFrame="_blank">
        <w:r>
          <w:rPr>
            <w:rStyle w:val="InternetLink"/>
            <w:rFonts w:ascii="Liberation Sans" w:hAnsi="Liberation Sans"/>
          </w:rPr>
          <w:t>new mathematics national curriculum</w:t>
        </w:r>
      </w:hyperlink>
      <w:r>
        <w:rPr>
          <w:rFonts w:ascii="Liberation Sans" w:hAnsi="Liberation Sans"/>
        </w:rPr>
        <w:t xml:space="preserve"> has three aims relating to problem solving, reasoning and fluency, and as discussed above, using well-chosen tasks which involve cubes can certainly help to achieve all three. It also contains more challenging content compared with the old version, so having mental images to draw upon will really help children as the complexity of challenge develops, and interlocking cubes can play an important role in this respect. (To find out more about the importance of mathematical models and mental images, see the articles </w:t>
      </w:r>
      <w:hyperlink r:id="rId39">
        <w:r>
          <w:rPr>
            <w:rStyle w:val="InternetLink"/>
            <w:rFonts w:ascii="Liberation Sans" w:hAnsi="Liberation Sans"/>
          </w:rPr>
          <w:t>From Objects and Images to Mathematical Ideas</w:t>
        </w:r>
      </w:hyperlink>
      <w:r>
        <w:rPr>
          <w:rFonts w:ascii="Liberation Sans" w:hAnsi="Liberation Sans"/>
        </w:rPr>
        <w:t xml:space="preserve"> and </w:t>
      </w:r>
      <w:hyperlink r:id="rId40">
        <w:r>
          <w:rPr>
            <w:rStyle w:val="InternetLink"/>
            <w:rFonts w:ascii="Liberation Sans" w:hAnsi="Liberation Sans"/>
          </w:rPr>
          <w:t>Models in Mind</w:t>
        </w:r>
      </w:hyperlink>
      <w:r>
        <w:rPr>
          <w:rFonts w:ascii="Liberation Sans" w:hAnsi="Liberation Sans"/>
        </w:rPr>
        <w:t>.)</w:t>
        <w:br/>
        <w:br/>
      </w:r>
      <w:r>
        <w:rPr>
          <w:rStyle w:val="StrongEmphasis"/>
          <w:rFonts w:ascii="Liberation Sans" w:hAnsi="Liberation Sans"/>
        </w:rPr>
        <w:t>And finally ...</w:t>
      </w:r>
      <w:r>
        <w:rPr>
          <w:rFonts w:ascii="Liberation Sans" w:hAnsi="Liberation Sans"/>
        </w:rPr>
        <w:br/>
        <w:t xml:space="preserve">You can find many more lower primary activities which make use of interlocking cubes </w:t>
      </w:r>
      <w:hyperlink r:id="rId41">
        <w:r>
          <w:rPr>
            <w:rStyle w:val="InternetLink"/>
            <w:rFonts w:ascii="Liberation Sans" w:hAnsi="Liberation Sans"/>
          </w:rPr>
          <w:t>here</w:t>
        </w:r>
      </w:hyperlink>
      <w:r>
        <w:rPr>
          <w:rFonts w:ascii="Liberation Sans" w:hAnsi="Liberation Sans"/>
        </w:rPr>
        <w:t xml:space="preserve"> and further upper primary tasks </w:t>
      </w:r>
      <w:hyperlink r:id="rId42">
        <w:r>
          <w:rPr>
            <w:rStyle w:val="InternetLink"/>
            <w:rFonts w:ascii="Liberation Sans" w:hAnsi="Liberation Sans"/>
          </w:rPr>
          <w:t>here</w:t>
        </w:r>
      </w:hyperlink>
      <w:r>
        <w:rPr>
          <w:rFonts w:ascii="Liberation Sans" w:hAnsi="Liberation Sans"/>
        </w:rPr>
        <w:t xml:space="preserve">. You may also wish to read the short article </w:t>
      </w:r>
      <w:hyperlink r:id="rId43">
        <w:r>
          <w:rPr>
            <w:rStyle w:val="InternetLink"/>
            <w:rFonts w:ascii="Liberation Sans" w:hAnsi="Liberation Sans"/>
          </w:rPr>
          <w:t>Many Ideas with a Few Cubes</w:t>
        </w:r>
      </w:hyperlink>
      <w:r>
        <w:rPr>
          <w:rFonts w:ascii="Liberation Sans" w:hAnsi="Liberation Sans"/>
        </w:rPr>
        <w:t xml:space="preserve">, which was originally written for the Mathematical Association's journal, </w:t>
      </w:r>
      <w:hyperlink r:id="rId44" w:tgtFrame="_blank">
        <w:r>
          <w:rPr>
            <w:rStyle w:val="InternetLink"/>
            <w:rFonts w:ascii="Liberation Sans" w:hAnsi="Liberation Sans"/>
          </w:rPr>
          <w:t>Equals</w:t>
        </w:r>
      </w:hyperlink>
      <w:r>
        <w:rPr>
          <w:rFonts w:ascii="Liberation Sans" w:hAnsi="Liberation Sans"/>
        </w:rPr>
        <w:t>. It gives a brief overview of a few other cube activities and suggests that they could be used to focus teachers' attention on sharing ideas and precision of arguments.</w:t>
      </w:r>
    </w:p>
    <w:sectPr>
      <w:headerReference w:type="default" r:id="rId45"/>
      <w:footerReference w:type="default" r:id="rId46"/>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10854</w:t>
    </w:r>
  </w:p>
  <w:p>
    <w:pPr>
      <w:pStyle w:val="HeaderFooter"/>
      <w:rPr/>
    </w:pPr>
    <w:r>
      <w:rPr>
        <w:sz w:val="18"/>
        <w:szCs w:val="18"/>
      </w:rPr>
      <w:t xml:space="preserve">Published </w:t>
    </w:r>
    <w:r>
      <w:rPr>
        <w:sz w:val="18"/>
        <w:szCs w:val="18"/>
      </w:rPr>
      <w:t>May 2014</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4">
              <wp:simplePos x="0" y="0"/>
              <wp:positionH relativeFrom="column">
                <wp:posOffset>-149860</wp:posOffset>
              </wp:positionH>
              <wp:positionV relativeFrom="paragraph">
                <wp:posOffset>-542290</wp:posOffset>
              </wp:positionV>
              <wp:extent cx="6596380" cy="756920"/>
              <wp:effectExtent l="0" t="0" r="0" b="0"/>
              <wp:wrapTopAndBottom/>
              <wp:docPr id="6"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7">
              <wp:simplePos x="0" y="0"/>
              <wp:positionH relativeFrom="column">
                <wp:posOffset>2783840</wp:posOffset>
              </wp:positionH>
              <wp:positionV relativeFrom="paragraph">
                <wp:posOffset>-497205</wp:posOffset>
              </wp:positionV>
              <wp:extent cx="3498215" cy="656590"/>
              <wp:effectExtent l="0" t="0" r="0" b="0"/>
              <wp:wrapNone/>
              <wp:docPr id="7" name="Shape2"/>
              <a:graphic xmlns:a="http://schemas.openxmlformats.org/drawingml/2006/main">
                <a:graphicData uri="http://schemas.microsoft.com/office/word/2010/wordprocessingShape">
                  <wps:wsp>
                    <wps:cNvSpPr/>
                    <wps:spPr>
                      <a:xfrm>
                        <a:off x="0" y="0"/>
                        <a:ext cx="3497760" cy="65592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Take Some ... Cubes</w:t>
                          </w:r>
                        </w:p>
                        <w:p>
                          <w:pPr>
                            <w:pStyle w:val="FrameContents"/>
                            <w:overflowPunct w:val="false"/>
                            <w:bidi w:val="0"/>
                            <w:jc w:val="right"/>
                            <w:rPr/>
                          </w:pPr>
                          <w:r>
                            <w:rPr>
                              <w:rFonts w:ascii="Tahoma" w:hAnsi="Tahoma"/>
                              <w:b/>
                              <w:bCs/>
                              <w:color w:val="FFFFFF"/>
                              <w:sz w:val="20"/>
                              <w:szCs w:val="20"/>
                            </w:rPr>
                            <w:t>By Liz Woodham</w:t>
                          </w:r>
                        </w:p>
                      </w:txbxContent>
                    </wps:txbx>
                    <wps:bodyPr lIns="0" rIns="0" tIns="0" bIns="0">
                      <a:spAutoFit/>
                    </wps:bodyPr>
                  </wps:wsp>
                </a:graphicData>
              </a:graphic>
            </wp:anchor>
          </w:drawing>
        </mc:Choice>
        <mc:Fallback>
          <w:pict>
            <v:rect id="shape_0" ID="Shape2" stroked="f" style="position:absolute;margin-left:219.2pt;margin-top:-39.15pt;width:275.35pt;height:51.6pt">
              <w10:wrap type="square"/>
              <v:fill o:detectmouseclick="t" on="false"/>
              <v:stroke color="#3465a4" joinstyle="round" endcap="flat"/>
              <v:textbo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Take Some ... Cubes</w:t>
                    </w:r>
                  </w:p>
                  <w:p>
                    <w:pPr>
                      <w:pStyle w:val="FrameContents"/>
                      <w:overflowPunct w:val="false"/>
                      <w:bidi w:val="0"/>
                      <w:jc w:val="right"/>
                      <w:rPr/>
                    </w:pPr>
                    <w:r>
                      <w:rPr>
                        <w:rFonts w:ascii="Tahoma" w:hAnsi="Tahoma"/>
                        <w:b/>
                        <w:bCs/>
                        <w:color w:val="FFFFFF"/>
                        <w:sz w:val="20"/>
                        <w:szCs w:val="20"/>
                      </w:rPr>
                      <w:t>By Liz Woodham</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10461" TargetMode="External"/><Relationship Id="rId3" Type="http://schemas.openxmlformats.org/officeDocument/2006/relationships/hyperlink" Target="https://nrich.maths.org/10061" TargetMode="External"/><Relationship Id="rId4" Type="http://schemas.openxmlformats.org/officeDocument/2006/relationships/image" Target="media/image1.png"/><Relationship Id="rId5" Type="http://schemas.openxmlformats.org/officeDocument/2006/relationships/hyperlink" Target="https://nrich.maths.org/5817" TargetMode="External"/><Relationship Id="rId6" Type="http://schemas.openxmlformats.org/officeDocument/2006/relationships/hyperlink" Target="https://nrich.maths.org/2908" TargetMode="External"/><Relationship Id="rId7" Type="http://schemas.openxmlformats.org/officeDocument/2006/relationships/hyperlink" Target="https://nrich.maths.org/4911" TargetMode="External"/><Relationship Id="rId8" Type="http://schemas.openxmlformats.org/officeDocument/2006/relationships/hyperlink" Target="https://nrich.maths.org/5158" TargetMode="External"/><Relationship Id="rId9" Type="http://schemas.openxmlformats.org/officeDocument/2006/relationships/hyperlink" Target="https://nrich.maths.org/6895" TargetMode="External"/><Relationship Id="rId10" Type="http://schemas.openxmlformats.org/officeDocument/2006/relationships/hyperlink" Target="https://nrich.maths.org/231" TargetMode="External"/><Relationship Id="rId11" Type="http://schemas.openxmlformats.org/officeDocument/2006/relationships/hyperlink" Target="https://nrich.maths.org/10865" TargetMode="External"/><Relationship Id="rId12" Type="http://schemas.openxmlformats.org/officeDocument/2006/relationships/image" Target="media/image2.png"/><Relationship Id="rId13" Type="http://schemas.openxmlformats.org/officeDocument/2006/relationships/hyperlink" Target="https://nrich.maths.org/137" TargetMode="External"/><Relationship Id="rId14" Type="http://schemas.openxmlformats.org/officeDocument/2006/relationships/hyperlink" Target="https://nrich.maths.org/6119" TargetMode="External"/><Relationship Id="rId15" Type="http://schemas.openxmlformats.org/officeDocument/2006/relationships/hyperlink" Target="https://nrich.maths.org/9752" TargetMode="External"/><Relationship Id="rId16" Type="http://schemas.openxmlformats.org/officeDocument/2006/relationships/image" Target="media/image3.png"/><Relationship Id="rId17" Type="http://schemas.openxmlformats.org/officeDocument/2006/relationships/hyperlink" Target="https://nrich.maths.org/2283" TargetMode="External"/><Relationship Id="rId18" Type="http://schemas.openxmlformats.org/officeDocument/2006/relationships/hyperlink" Target="https://nrich.maths.org/5809" TargetMode="External"/><Relationship Id="rId19" Type="http://schemas.openxmlformats.org/officeDocument/2006/relationships/hyperlink" Target="https://nrich.maths.org/5817" TargetMode="External"/><Relationship Id="rId20" Type="http://schemas.openxmlformats.org/officeDocument/2006/relationships/hyperlink" Target="https://nrich.maths.org/2283" TargetMode="External"/><Relationship Id="rId21" Type="http://schemas.openxmlformats.org/officeDocument/2006/relationships/image" Target="media/image4.jpeg"/><Relationship Id="rId22" Type="http://schemas.openxmlformats.org/officeDocument/2006/relationships/hyperlink" Target="https://nrich.maths.org/5158" TargetMode="External"/><Relationship Id="rId23" Type="http://schemas.openxmlformats.org/officeDocument/2006/relationships/hyperlink" Target="https://nrich.maths.org/6895" TargetMode="External"/><Relationship Id="rId24" Type="http://schemas.openxmlformats.org/officeDocument/2006/relationships/hyperlink" Target="https://nrich.maths.org/231" TargetMode="External"/><Relationship Id="rId25" Type="http://schemas.openxmlformats.org/officeDocument/2006/relationships/hyperlink" Target="https://nrich.maths.org/10624" TargetMode="External"/><Relationship Id="rId26" Type="http://schemas.openxmlformats.org/officeDocument/2006/relationships/hyperlink" Target="https://nrich.maths.org/4911" TargetMode="External"/><Relationship Id="rId27" Type="http://schemas.openxmlformats.org/officeDocument/2006/relationships/image" Target="media/image5.png"/><Relationship Id="rId28" Type="http://schemas.openxmlformats.org/officeDocument/2006/relationships/hyperlink" Target="https://nrich.maths.org/10061" TargetMode="External"/><Relationship Id="rId29" Type="http://schemas.openxmlformats.org/officeDocument/2006/relationships/hyperlink" Target="https://nrich.maths.org/2908" TargetMode="External"/><Relationship Id="rId30" Type="http://schemas.openxmlformats.org/officeDocument/2006/relationships/hyperlink" Target="https://nrich.maths.org/6895" TargetMode="External"/><Relationship Id="rId31" Type="http://schemas.openxmlformats.org/officeDocument/2006/relationships/hyperlink" Target="https://nrich.maths.org/137" TargetMode="External"/><Relationship Id="rId32" Type="http://schemas.openxmlformats.org/officeDocument/2006/relationships/hyperlink" Target="https://nrich.maths.org/6119" TargetMode="External"/><Relationship Id="rId33" Type="http://schemas.openxmlformats.org/officeDocument/2006/relationships/hyperlink" Target="https://nrich.maths.org/5158" TargetMode="External"/><Relationship Id="rId34" Type="http://schemas.openxmlformats.org/officeDocument/2006/relationships/hyperlink" Target="https://nrich.maths.org/231" TargetMode="External"/><Relationship Id="rId35" Type="http://schemas.openxmlformats.org/officeDocument/2006/relationships/hyperlink" Target="https://nrich.maths.org/2283" TargetMode="External"/><Relationship Id="rId36" Type="http://schemas.openxmlformats.org/officeDocument/2006/relationships/hyperlink" Target="https://nrich.maths.org/4911" TargetMode="External"/><Relationship Id="rId37" Type="http://schemas.openxmlformats.org/officeDocument/2006/relationships/hyperlink" Target="https://nrich.maths.org/5809" TargetMode="External"/><Relationship Id="rId38" Type="http://schemas.openxmlformats.org/officeDocument/2006/relationships/hyperlink" Target="https://www.gov.uk/government/publications/national-curriculum-in-england-mathematics-programmes-of-study" TargetMode="External"/><Relationship Id="rId39" Type="http://schemas.openxmlformats.org/officeDocument/2006/relationships/hyperlink" Target="https://nrich.maths.org/8119" TargetMode="External"/><Relationship Id="rId40" Type="http://schemas.openxmlformats.org/officeDocument/2006/relationships/hyperlink" Target="https://nrich.maths.org/8348" TargetMode="External"/><Relationship Id="rId41" Type="http://schemas.openxmlformats.org/officeDocument/2006/relationships/hyperlink" Target="https://nrich.maths.org/10827" TargetMode="External"/><Relationship Id="rId42" Type="http://schemas.openxmlformats.org/officeDocument/2006/relationships/hyperlink" Target="https://nrich.maths.org/10828" TargetMode="External"/><Relationship Id="rId43" Type="http://schemas.openxmlformats.org/officeDocument/2006/relationships/hyperlink" Target="https://nrich.maths.org/10058" TargetMode="External"/><Relationship Id="rId44" Type="http://schemas.openxmlformats.org/officeDocument/2006/relationships/hyperlink" Target="http://www.m-a.org.uk/jsp/index.jsp?lnk=650" TargetMode="External"/><Relationship Id="rId45" Type="http://schemas.openxmlformats.org/officeDocument/2006/relationships/header" Target="header1.xml"/><Relationship Id="rId46" Type="http://schemas.openxmlformats.org/officeDocument/2006/relationships/footer" Target="footer1.xml"/><Relationship Id="rId47" Type="http://schemas.openxmlformats.org/officeDocument/2006/relationships/fontTable" Target="fontTable.xml"/><Relationship Id="rId4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emplate/>
  <TotalTime>22</TotalTime>
  <Application>LibreOffice/5.4.7.2$Linux_X86_64 LibreOffice_project/40$Build-2</Application>
  <Pages>3</Pages>
  <Words>1375</Words>
  <Characters>7189</Characters>
  <CharactersWithSpaces>8574</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2018-06-18T15:33:24Z</dcterms:modified>
  <cp:revision>15</cp:revision>
  <dc:subject/>
  <dc:title/>
</cp:coreProperties>
</file>