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7.png" ContentType="image/png"/>
  <Override PartName="/word/media/image2.jpeg" ContentType="image/jpeg"/>
  <Override PartName="/word/media/image1.gif" ContentType="image/gif"/>
  <Override PartName="/word/media/image3.jpeg" ContentType="image/jpeg"/>
  <Override PartName="/word/media/image4.jpeg" ContentType="image/jpeg"/>
  <Override PartName="/word/media/image5.png" ContentType="image/png"/>
  <Override PartName="/word/media/image6.png" ContentType="image/pn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Style w:val="StrongEmphasis"/>
          <w:rFonts w:ascii="Liberation Sans" w:hAnsi="Liberation Sans"/>
        </w:rPr>
        <w:t>Introduction</w:t>
      </w:r>
      <w:r>
        <w:rPr>
          <w:rFonts w:ascii="Liberation Sans" w:hAnsi="Liberation Sans"/>
        </w:rPr>
        <w:br/>
        <w:t xml:space="preserve">By the time children leave primary school, we would like them to have a well-developed sense of number and a deep understanding of place value. In her articles </w:t>
      </w:r>
      <w:hyperlink r:id="rId2">
        <w:r>
          <w:rPr>
            <w:rStyle w:val="InternetLink"/>
            <w:rFonts w:ascii="Liberation Sans" w:hAnsi="Liberation Sans"/>
          </w:rPr>
          <w:t>Early Number Sense</w:t>
        </w:r>
      </w:hyperlink>
      <w:r>
        <w:rPr>
          <w:rFonts w:ascii="Liberation Sans" w:hAnsi="Liberation Sans"/>
        </w:rPr>
        <w:t xml:space="preserve"> and </w:t>
      </w:r>
      <w:hyperlink r:id="rId3">
        <w:r>
          <w:rPr>
            <w:rStyle w:val="InternetLink"/>
            <w:rFonts w:ascii="Liberation Sans" w:hAnsi="Liberation Sans"/>
          </w:rPr>
          <w:t>Place Value: The Ten-ness of Ten</w:t>
        </w:r>
      </w:hyperlink>
      <w:r>
        <w:rPr>
          <w:rFonts w:ascii="Liberation Sans" w:hAnsi="Liberation Sans"/>
        </w:rPr>
        <w:t>, Jenni Back discusses what we mean by these two areas of mathematics, outlines relevant research findings and introduces some manipulatives which support their development. In this article, we expand on the key ideas and suggest mathematical activities which will help to develop these important aspects of mathematics.</w:t>
        <w:br/>
        <w:br/>
        <w:t>Jenni suggests in the aforementioned articles that the first step towards a deep understanding of number and place value is having a strong sense of the numbers up to ten. From there, developing children's 'sense of ten' is essential as part of their understanding of place value and this also paves the way for mental calculation. In addition to this 'sense of ten', place value encompasses three other important ideas:</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Ordering - comparing numbers with each other</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Position - understanding how the place of a digit affects its value in any particular number</w:t>
      </w:r>
    </w:p>
    <w:p>
      <w:pPr>
        <w:pStyle w:val="TextBody"/>
        <w:numPr>
          <w:ilvl w:val="0"/>
          <w:numId w:val="1"/>
        </w:numPr>
        <w:tabs>
          <w:tab w:val="left" w:pos="0" w:leader="none"/>
        </w:tabs>
        <w:ind w:left="707" w:hanging="283"/>
        <w:rPr>
          <w:rFonts w:ascii="Liberation Sans" w:hAnsi="Liberation Sans"/>
        </w:rPr>
      </w:pPr>
      <w:r>
        <w:rPr>
          <w:rFonts w:ascii="Liberation Sans" w:hAnsi="Liberation Sans"/>
        </w:rPr>
        <w:t>Amount - knowing what the digits represent.</w:t>
      </w:r>
    </w:p>
    <w:p>
      <w:pPr>
        <w:pStyle w:val="TextBody"/>
        <w:rPr/>
      </w:pPr>
      <w:r>
        <w:rPr>
          <w:rFonts w:ascii="Liberation Sans" w:hAnsi="Liberation Sans"/>
        </w:rPr>
        <w:t>Below we take these five fundamental ideas (early number sense, sense of ten, ordering, position and amount) in turn and offer mathematical tasks to help develop each.</w:t>
        <w:br/>
        <w:br/>
        <w:br/>
      </w:r>
      <w:r>
        <w:rPr>
          <w:rStyle w:val="StrongEmphasis"/>
          <w:rFonts w:ascii="Liberation Sans" w:hAnsi="Liberation Sans"/>
        </w:rPr>
        <w:t>1. Early Number Sense</w:t>
      </w:r>
      <w:r>
        <w:rPr>
          <w:rFonts w:ascii="Liberation Sans" w:hAnsi="Liberation Sans"/>
        </w:rPr>
        <w:br/>
      </w:r>
      <w:r>
        <w:rPr>
          <w:rFonts w:ascii="Liberation Sans" w:hAnsi="Liberation Sans"/>
          <w:u w:val="single"/>
        </w:rPr>
        <w:t>Dot Cards</w:t>
      </w:r>
      <w:r>
        <w:rPr>
          <w:rFonts w:ascii="Liberation Sans" w:hAnsi="Liberation Sans"/>
        </w:rPr>
        <w:br/>
        <w:t xml:space="preserve">In her </w:t>
      </w:r>
      <w:hyperlink r:id="rId4">
        <w:r>
          <w:rPr>
            <w:rStyle w:val="InternetLink"/>
            <w:rFonts w:ascii="Liberation Sans" w:hAnsi="Liberation Sans"/>
          </w:rPr>
          <w:t>Early Number Sense article</w:t>
        </w:r>
      </w:hyperlink>
      <w:r>
        <w:rPr>
          <w:rFonts w:ascii="Liberation Sans" w:hAnsi="Liberation Sans"/>
        </w:rPr>
        <w:t>, Jenni introduces us to 'dot cards' which are cards with dot stickers stuck on one side. Different arrangements of dots for a particular number help children see the structure of that number so that eventually it can be recognised using mental strategies, rather than by counting.</w:t>
        <w:br/>
        <w:br/>
        <w:t xml:space="preserve">Jenni Way described a number of games using dot cards in her </w:t>
      </w:r>
      <w:hyperlink r:id="rId5">
        <w:r>
          <w:rPr>
            <w:rStyle w:val="InternetLink"/>
            <w:rFonts w:ascii="Liberation Sans" w:hAnsi="Liberation Sans"/>
          </w:rPr>
          <w:t>original number sense article</w:t>
        </w:r>
      </w:hyperlink>
      <w:r>
        <w:rPr>
          <w:rFonts w:ascii="Liberation Sans" w:hAnsi="Liberation Sans"/>
        </w:rPr>
        <w:t xml:space="preserve">. They are still as useful and motivating at they were when she wrote the article in 2001 and so we have gathered the games </w:t>
      </w:r>
      <w:hyperlink r:id="rId6">
        <w:r>
          <w:rPr>
            <w:rStyle w:val="InternetLink"/>
            <w:rFonts w:ascii="Liberation Sans" w:hAnsi="Liberation Sans"/>
          </w:rPr>
          <w:t>here</w:t>
        </w:r>
      </w:hyperlink>
      <w:r>
        <w:rPr>
          <w:rFonts w:ascii="Liberation Sans" w:hAnsi="Liberation Sans"/>
        </w:rPr>
        <w:t xml:space="preserve"> for ease. The games help to develop children's number sense by offering different representations of numbers and by creating a motivating context in which to begin to add and subtract.</w:t>
        <w:br/>
        <w:br/>
      </w:r>
      <w:r>
        <w:rPr>
          <w:rFonts w:ascii="Liberation Sans" w:hAnsi="Liberation Sans"/>
          <w:u w:val="single"/>
        </w:rPr>
        <w:t>Hungarian Number Pictures</w:t>
      </w:r>
      <w:r>
        <w:rPr>
          <w:rFonts w:ascii="Liberation Sans" w:hAnsi="Liberation Sans"/>
        </w:rPr>
        <w:br/>
        <w:t xml:space="preserve">One of the ways in which we can help children develop their sense of number is by offering a range of different representations of numbers (see the </w:t>
      </w:r>
      <w:hyperlink r:id="rId7">
        <w:r>
          <w:rPr>
            <w:rStyle w:val="InternetLink"/>
            <w:rFonts w:ascii="Liberation Sans" w:hAnsi="Liberation Sans"/>
          </w:rPr>
          <w:t>Early Number Sense article</w:t>
        </w:r>
      </w:hyperlink>
      <w:r>
        <w:rPr>
          <w:rFonts w:ascii="Liberation Sans" w:hAnsi="Liberation Sans"/>
        </w:rPr>
        <w:t xml:space="preserve">). In </w:t>
      </w:r>
      <w:hyperlink r:id="rId8">
        <w:r>
          <w:rPr>
            <w:rStyle w:val="InternetLink"/>
            <w:rFonts w:ascii="Liberation Sans" w:hAnsi="Liberation Sans"/>
          </w:rPr>
          <w:t>From Objects and Images to Mathematical Ideas</w:t>
        </w:r>
      </w:hyperlink>
      <w:r>
        <w:rPr>
          <w:rFonts w:ascii="Liberation Sans" w:hAnsi="Liberation Sans"/>
        </w:rPr>
        <w:t>, Jenni decribes her observations of a class of 6-7 year olds in Hungary where the focus was the number six. A whole range of representations of six were shared with learners in a single lesson, for example the pattern of six on a die, the finger pattern of six, collections of six objects, collections of actions, Cuisenaire rods to make six, dominoes with six spots, Roman numerals to represent six, the symbol '6', six on a number line, six o'clock on an analogue clock face and coins worth six.</w:t>
        <w:br/>
        <w:br/>
        <w:t>Also included in that lesson, and of particular note in this context, are 'number pictures' which are used by teachers in Hungary as a way of supporting children’s understanding of numbers and their learning of number bonds to twenty. A template is used along with counters that are blue on one side and red on the other. Here is a picture of the template:</w:t>
      </w:r>
    </w:p>
    <w:p>
      <w:pPr>
        <w:pStyle w:val="TextBody"/>
        <w:spacing w:before="0" w:after="0"/>
        <w:jc w:val="center"/>
        <w:rPr>
          <w:rFonts w:ascii="Liberation Sans" w:hAnsi="Liberation Sans"/>
        </w:rPr>
      </w:pPr>
      <w:r>
        <w:rPr>
          <w:rFonts w:ascii="Liberation Sans" w:hAnsi="Liberation Sans"/>
        </w:rPr>
        <w:drawing>
          <wp:inline distT="0" distB="0" distL="0" distR="0">
            <wp:extent cx="4762500" cy="24479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9"/>
                    <a:stretch>
                      <a:fillRect/>
                    </a:stretch>
                  </pic:blipFill>
                  <pic:spPr bwMode="auto">
                    <a:xfrm>
                      <a:off x="0" y="0"/>
                      <a:ext cx="4762500" cy="2447925"/>
                    </a:xfrm>
                    <a:prstGeom prst="rect">
                      <a:avLst/>
                    </a:prstGeom>
                  </pic:spPr>
                </pic:pic>
              </a:graphicData>
            </a:graphic>
          </wp:inline>
        </w:drawing>
      </w:r>
    </w:p>
    <w:p>
      <w:pPr>
        <w:pStyle w:val="TextBody"/>
        <w:spacing w:before="0" w:after="0"/>
        <w:rPr/>
      </w:pPr>
      <w:r>
        <w:rPr>
          <w:rFonts w:ascii="Liberation Sans" w:hAnsi="Liberation Sans"/>
        </w:rPr>
        <w:br/>
        <w:t xml:space="preserve">These 'number pictures' are based on the notion that we can instantly recognise numbers to five without counting (a skill called subitising - see </w:t>
      </w:r>
      <w:hyperlink r:id="rId10">
        <w:r>
          <w:rPr>
            <w:rStyle w:val="InternetLink"/>
            <w:rFonts w:ascii="Liberation Sans" w:hAnsi="Liberation Sans"/>
          </w:rPr>
          <w:t>Early Number Sense</w:t>
        </w:r>
      </w:hyperlink>
      <w:r>
        <w:rPr>
          <w:rFonts w:ascii="Liberation Sans" w:hAnsi="Liberation Sans"/>
        </w:rPr>
        <w:t xml:space="preserve">) and so arranging the number of dots in the holes on the template help. Different numbers can be shown in different colour dots for addition (this is where the double-sided counters are useful). </w:t>
      </w:r>
      <w:hyperlink r:id="rId11">
        <w:r>
          <w:rPr>
            <w:rStyle w:val="InternetLink"/>
            <w:rFonts w:ascii="Liberation Sans" w:hAnsi="Liberation Sans"/>
          </w:rPr>
          <w:t>Here</w:t>
        </w:r>
      </w:hyperlink>
      <w:r>
        <w:rPr>
          <w:rFonts w:ascii="Liberation Sans" w:hAnsi="Liberation Sans"/>
        </w:rPr>
        <w:t xml:space="preserve"> is a downloadable sheet of the template along with coloured counters. Two sets will enable you to work with the numbers to twenty. The iconic representation will help learners to remember and visualise the number bonds.</w:t>
        <w:br/>
        <w:br/>
      </w:r>
      <w:r>
        <w:rPr>
          <w:rFonts w:ascii="Liberation Sans" w:hAnsi="Liberation Sans"/>
          <w:u w:val="single"/>
        </w:rPr>
        <w:t>NRICH tasks</w:t>
      </w:r>
      <w:r>
        <w:rPr>
          <w:rFonts w:ascii="Liberation Sans" w:hAnsi="Liberation Sans"/>
        </w:rPr>
        <w:br/>
        <w:drawing>
          <wp:anchor behindDoc="0" distT="95250" distB="95250" distL="95250" distR="95250" simplePos="0" locked="0" layoutInCell="1" allowOverlap="1" relativeHeight="19">
            <wp:simplePos x="0" y="0"/>
            <wp:positionH relativeFrom="column">
              <wp:align>left</wp:align>
            </wp:positionH>
            <wp:positionV relativeFrom="line">
              <wp:align>bottom</wp:align>
            </wp:positionV>
            <wp:extent cx="942975" cy="95250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2"/>
                    <a:stretch>
                      <a:fillRect/>
                    </a:stretch>
                  </pic:blipFill>
                  <pic:spPr bwMode="auto">
                    <a:xfrm>
                      <a:off x="0" y="0"/>
                      <a:ext cx="942975" cy="952500"/>
                    </a:xfrm>
                    <a:prstGeom prst="rect">
                      <a:avLst/>
                    </a:prstGeom>
                  </pic:spPr>
                </pic:pic>
              </a:graphicData>
            </a:graphic>
          </wp:anchor>
        </w:drawing>
      </w:r>
      <w:r>
        <w:rPr>
          <w:rFonts w:ascii="Liberation Sans" w:hAnsi="Liberation Sans"/>
        </w:rPr>
        <w:t xml:space="preserve">If you are working with young children, take a look at our </w:t>
      </w:r>
      <w:hyperlink r:id="rId13">
        <w:r>
          <w:rPr>
            <w:rStyle w:val="InternetLink"/>
            <w:rFonts w:ascii="Liberation Sans" w:hAnsi="Liberation Sans"/>
          </w:rPr>
          <w:t>Early Years resources</w:t>
        </w:r>
      </w:hyperlink>
      <w:r>
        <w:rPr>
          <w:rFonts w:ascii="Liberation Sans" w:hAnsi="Liberation Sans"/>
        </w:rPr>
        <w:t xml:space="preserve">. Many of them offer contexts in which children might explore number. In particular, we would recommend </w:t>
      </w:r>
      <w:hyperlink r:id="rId14">
        <w:r>
          <w:rPr>
            <w:rStyle w:val="InternetLink"/>
            <w:rFonts w:ascii="Liberation Sans" w:hAnsi="Liberation Sans"/>
          </w:rPr>
          <w:t>Golden Beans</w:t>
        </w:r>
      </w:hyperlink>
      <w:r>
        <w:rPr>
          <w:rFonts w:ascii="Liberation Sans" w:hAnsi="Liberation Sans"/>
        </w:rPr>
        <w:t xml:space="preserve">, </w:t>
      </w:r>
      <w:hyperlink r:id="rId15">
        <w:r>
          <w:rPr>
            <w:rStyle w:val="InternetLink"/>
            <w:rFonts w:ascii="Liberation Sans" w:hAnsi="Liberation Sans"/>
          </w:rPr>
          <w:t>Dice</w:t>
        </w:r>
      </w:hyperlink>
      <w:r>
        <w:rPr>
          <w:rFonts w:ascii="Liberation Sans" w:hAnsi="Liberation Sans"/>
        </w:rPr>
        <w:t xml:space="preserve">, </w:t>
      </w:r>
      <w:hyperlink r:id="rId16">
        <w:r>
          <w:rPr>
            <w:rStyle w:val="InternetLink"/>
            <w:rFonts w:ascii="Liberation Sans" w:hAnsi="Liberation Sans"/>
          </w:rPr>
          <w:t>Playing Incey Wincey Spider</w:t>
        </w:r>
      </w:hyperlink>
      <w:r>
        <w:rPr>
          <w:rFonts w:ascii="Liberation Sans" w:hAnsi="Liberation Sans"/>
        </w:rPr>
        <w:t xml:space="preserve"> and </w:t>
      </w:r>
      <w:hyperlink r:id="rId17">
        <w:r>
          <w:rPr>
            <w:rStyle w:val="InternetLink"/>
            <w:rFonts w:ascii="Liberation Sans" w:hAnsi="Liberation Sans"/>
          </w:rPr>
          <w:t>Number Rhymes</w:t>
        </w:r>
      </w:hyperlink>
      <w:r>
        <w:rPr>
          <w:rFonts w:ascii="Liberation Sans" w:hAnsi="Liberation Sans"/>
        </w:rPr>
        <w:t>, all of which will help develop children's sense of number from an early age.</w:t>
        <w:br/>
        <w:br/>
      </w:r>
      <w:hyperlink r:id="rId18">
        <w:r>
          <w:rPr>
            <w:rStyle w:val="InternetLink"/>
            <w:rFonts w:ascii="Liberation Sans" w:hAnsi="Liberation Sans"/>
          </w:rPr>
          <w:t>Number Match</w:t>
        </w:r>
      </w:hyperlink>
      <w:r>
        <w:rPr>
          <w:rFonts w:ascii="Liberation Sans" w:hAnsi="Liberation Sans"/>
        </w:rPr>
        <w:t xml:space="preserve"> is a group task, ideal for lower primary learners. It will help pupils grasp the 'threeness of three', for example, and offers different representations of numbers for children to interpret.</w:t>
        <w:br/>
        <w:br/>
        <w:br/>
      </w:r>
      <w:r>
        <w:rPr>
          <w:rStyle w:val="StrongEmphasis"/>
          <w:rFonts w:ascii="Liberation Sans" w:hAnsi="Liberation Sans"/>
        </w:rPr>
        <w:t>2. The Ten-ness of Ten</w:t>
      </w:r>
      <w:r>
        <w:rPr>
          <w:rFonts w:ascii="Liberation Sans" w:hAnsi="Liberation Sans"/>
        </w:rPr>
        <w:br/>
        <w:t xml:space="preserve">As Jenni indicates in her article </w:t>
      </w:r>
      <w:hyperlink r:id="rId19">
        <w:r>
          <w:rPr>
            <w:rStyle w:val="InternetLink"/>
            <w:rFonts w:ascii="Liberation Sans" w:hAnsi="Liberation Sans"/>
          </w:rPr>
          <w:t>Place Value: The Ten-ness of Ten</w:t>
        </w:r>
      </w:hyperlink>
      <w:r>
        <w:rPr>
          <w:rFonts w:ascii="Liberation Sans" w:hAnsi="Liberation Sans"/>
        </w:rPr>
        <w:t>, once children have developed a sense of the numbers up to ten, the next step is for them to have a strong 'sense of ten'.</w:t>
        <w:br/>
        <w:br/>
      </w:r>
      <w:r>
        <w:rPr>
          <w:rFonts w:ascii="Liberation Sans" w:hAnsi="Liberation Sans"/>
          <w:u w:val="single"/>
        </w:rPr>
        <w:t>Ten-frames</w:t>
      </w:r>
      <w:r>
        <w:rPr>
          <w:rFonts w:ascii="Liberation Sans" w:hAnsi="Liberation Sans"/>
        </w:rPr>
        <w:br/>
        <w:t>In that same article, Jenni introduces us to ten-frames, which are are two-by-five rectangular frames into which counters are placed to illustrate numbers less than or equal to ten. Jenni explains how ten-frames can 'prompt different mental images of numbers and different mental strategies for manipulating these numbers, all in association with the numbers' relationships to ten'.</w:t>
        <w:br/>
        <w:br/>
      </w:r>
      <w:hyperlink r:id="rId20">
        <w:r>
          <w:rPr>
            <w:rStyle w:val="InternetLink"/>
            <w:rFonts w:ascii="Liberation Sans" w:hAnsi="Liberation Sans"/>
          </w:rPr>
          <w:t>Here</w:t>
        </w:r>
      </w:hyperlink>
      <w:r>
        <w:rPr>
          <w:rFonts w:ascii="Liberation Sans" w:hAnsi="Liberation Sans"/>
        </w:rPr>
        <w:t xml:space="preserve"> we offer three games, all of which make use of ten-frames to help to develop children’s understanding of ten as one of the most significant numbers in our number system.</w:t>
        <w:br/>
        <w:br/>
        <w:br/>
      </w:r>
      <w:r>
        <w:rPr>
          <w:rStyle w:val="StrongEmphasis"/>
          <w:rFonts w:ascii="Liberation Sans" w:hAnsi="Liberation Sans"/>
        </w:rPr>
        <w:t>3. Ordering</w:t>
      </w:r>
      <w:r>
        <w:rPr>
          <w:rFonts w:ascii="Liberation Sans" w:hAnsi="Liberation Sans"/>
        </w:rPr>
        <w:br/>
        <w:drawing>
          <wp:anchor behindDoc="0" distT="95250" distB="95250" distL="95250" distR="95250" simplePos="0" locked="0" layoutInCell="1" allowOverlap="1" relativeHeight="20">
            <wp:simplePos x="0" y="0"/>
            <wp:positionH relativeFrom="column">
              <wp:align>right</wp:align>
            </wp:positionH>
            <wp:positionV relativeFrom="line">
              <wp:align>bottom</wp:align>
            </wp:positionV>
            <wp:extent cx="952500" cy="952500"/>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1"/>
                    <a:stretch>
                      <a:fillRect/>
                    </a:stretch>
                  </pic:blipFill>
                  <pic:spPr bwMode="auto">
                    <a:xfrm>
                      <a:off x="0" y="0"/>
                      <a:ext cx="952500" cy="952500"/>
                    </a:xfrm>
                    <a:prstGeom prst="rect">
                      <a:avLst/>
                    </a:prstGeom>
                  </pic:spPr>
                </pic:pic>
              </a:graphicData>
            </a:graphic>
          </wp:anchor>
        </w:drawing>
      </w:r>
      <w:r>
        <w:rPr>
          <w:rFonts w:ascii="Liberation Sans" w:hAnsi="Liberation Sans"/>
        </w:rPr>
        <w:t xml:space="preserve">There are several tasks on the NRICH site which help children get to grips with this aspect of place value. In </w:t>
      </w:r>
      <w:hyperlink r:id="rId22">
        <w:r>
          <w:rPr>
            <w:rStyle w:val="InternetLink"/>
            <w:rFonts w:ascii="Liberation Sans" w:hAnsi="Liberation Sans"/>
          </w:rPr>
          <w:t>Next Domino</w:t>
        </w:r>
      </w:hyperlink>
      <w:r>
        <w:rPr>
          <w:rFonts w:ascii="Liberation Sans" w:hAnsi="Liberation Sans"/>
        </w:rPr>
        <w:t>, learners are required to extend sequences of dominoes. This will involve comparing the dominoes already in the sequence and identifying what is the same and what is different about them, before deciding on the missing dominoes. (And of course in order to do all that, some children will be subitising.)</w:t>
        <w:br/>
        <w:br/>
      </w:r>
      <w:hyperlink r:id="rId23">
        <w:r>
          <w:rPr>
            <w:rStyle w:val="InternetLink"/>
            <w:rFonts w:ascii="Liberation Sans" w:hAnsi="Liberation Sans"/>
          </w:rPr>
          <w:t>That Number Square!</w:t>
        </w:r>
      </w:hyperlink>
      <w:r>
        <w:rPr>
          <w:rFonts w:ascii="Liberation Sans" w:hAnsi="Liberation Sans"/>
        </w:rPr>
        <w:t xml:space="preserve"> involves similar skills, but now in the context of higher numbers, as children are challenged to rebuild the hundred square from scratch. </w:t>
      </w:r>
      <w:hyperlink r:id="rId24">
        <w:r>
          <w:rPr>
            <w:rStyle w:val="InternetLink"/>
            <w:rFonts w:ascii="Liberation Sans" w:hAnsi="Liberation Sans"/>
          </w:rPr>
          <w:t>Coded Hundred Square</w:t>
        </w:r>
      </w:hyperlink>
      <w:r>
        <w:rPr>
          <w:rFonts w:ascii="Liberation Sans" w:hAnsi="Liberation Sans"/>
        </w:rPr>
        <w:t xml:space="preserve"> takes the challenge up a level by including numbers 0 to 99 written in code. In order to reassemble the coded hundred square jigsaw, children will be comparing and ordering, but in addition they will draw on knowledge of the position of digits, leading us on to ...</w:t>
        <w:br/>
        <w:br/>
        <w:br/>
      </w:r>
      <w:r>
        <w:rPr>
          <w:rStyle w:val="StrongEmphasis"/>
          <w:rFonts w:ascii="Liberation Sans" w:hAnsi="Liberation Sans"/>
        </w:rPr>
        <w:t>4. Position</w:t>
      </w:r>
      <w:r>
        <w:rPr>
          <w:rFonts w:ascii="Liberation Sans" w:hAnsi="Liberation Sans"/>
        </w:rPr>
        <w:br/>
        <w:drawing>
          <wp:anchor behindDoc="0" distT="95250" distB="95250" distL="95250" distR="95250" simplePos="0" locked="0" layoutInCell="1" allowOverlap="1" relativeHeight="21">
            <wp:simplePos x="0" y="0"/>
            <wp:positionH relativeFrom="column">
              <wp:align>left</wp:align>
            </wp:positionH>
            <wp:positionV relativeFrom="line">
              <wp:align>bottom</wp:align>
            </wp:positionV>
            <wp:extent cx="952500" cy="952500"/>
            <wp:effectExtent l="0" t="0" r="0" b="0"/>
            <wp:wrapSquare wrapText="largest"/>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25"/>
                    <a:stretch>
                      <a:fillRect/>
                    </a:stretch>
                  </pic:blipFill>
                  <pic:spPr bwMode="auto">
                    <a:xfrm>
                      <a:off x="0" y="0"/>
                      <a:ext cx="952500" cy="952500"/>
                    </a:xfrm>
                    <a:prstGeom prst="rect">
                      <a:avLst/>
                    </a:prstGeom>
                  </pic:spPr>
                </pic:pic>
              </a:graphicData>
            </a:graphic>
          </wp:anchor>
        </w:drawing>
      </w:r>
      <w:r>
        <w:rPr>
          <w:rFonts w:ascii="Liberation Sans" w:hAnsi="Liberation Sans"/>
        </w:rPr>
        <w:t xml:space="preserve">One of the fundamental ideas associated with place value is that the position of a digit in a number affects its value. So, for example in the number 126, the 6 is worth six ones, whereas in the number 164, the 6 is worth six tens. </w:t>
      </w:r>
      <w:hyperlink r:id="rId26">
        <w:r>
          <w:rPr>
            <w:rStyle w:val="InternetLink"/>
            <w:rFonts w:ascii="Liberation Sans" w:hAnsi="Liberation Sans"/>
          </w:rPr>
          <w:t>6 Beads</w:t>
        </w:r>
      </w:hyperlink>
      <w:r>
        <w:rPr>
          <w:rFonts w:ascii="Liberation Sans" w:hAnsi="Liberation Sans"/>
        </w:rPr>
        <w:t xml:space="preserve">, </w:t>
      </w:r>
      <w:hyperlink r:id="rId27">
        <w:r>
          <w:rPr>
            <w:rStyle w:val="InternetLink"/>
            <w:rFonts w:ascii="Liberation Sans" w:hAnsi="Liberation Sans"/>
          </w:rPr>
          <w:t>Two-digit Targets</w:t>
        </w:r>
      </w:hyperlink>
      <w:r>
        <w:rPr>
          <w:rFonts w:ascii="Liberation Sans" w:hAnsi="Liberation Sans"/>
        </w:rPr>
        <w:t xml:space="preserve">, </w:t>
      </w:r>
      <w:hyperlink r:id="rId28">
        <w:r>
          <w:rPr>
            <w:rStyle w:val="InternetLink"/>
            <w:rFonts w:ascii="Liberation Sans" w:hAnsi="Liberation Sans"/>
          </w:rPr>
          <w:t>Five Steps to 50</w:t>
        </w:r>
      </w:hyperlink>
      <w:r>
        <w:rPr>
          <w:rFonts w:ascii="Liberation Sans" w:hAnsi="Liberation Sans"/>
        </w:rPr>
        <w:t xml:space="preserve"> and </w:t>
      </w:r>
      <w:hyperlink r:id="rId29">
        <w:r>
          <w:rPr>
            <w:rStyle w:val="InternetLink"/>
            <w:rFonts w:ascii="Liberation Sans" w:hAnsi="Liberation Sans"/>
          </w:rPr>
          <w:t>Largest Even</w:t>
        </w:r>
      </w:hyperlink>
      <w:r>
        <w:rPr>
          <w:rFonts w:ascii="Liberation Sans" w:hAnsi="Liberation Sans"/>
        </w:rPr>
        <w:t xml:space="preserve"> are all NRICH lower primary tasks which will help learners come to a deep understanding of this aspect of place value. In fact, to some extent, these activities also involve some ordering and comparing but digit position is central.</w:t>
        <w:br/>
        <w:br/>
        <w:t xml:space="preserve">For some higher level challenges which also focus on digit position, take a look at </w:t>
      </w:r>
      <w:hyperlink r:id="rId30">
        <w:r>
          <w:rPr>
            <w:rStyle w:val="InternetLink"/>
            <w:rFonts w:ascii="Liberation Sans" w:hAnsi="Liberation Sans"/>
          </w:rPr>
          <w:t>Which Scripts?</w:t>
        </w:r>
      </w:hyperlink>
      <w:r>
        <w:rPr>
          <w:rFonts w:ascii="Liberation Sans" w:hAnsi="Liberation Sans"/>
        </w:rPr>
        <w:t xml:space="preserve"> and </w:t>
      </w:r>
      <w:hyperlink r:id="rId31">
        <w:r>
          <w:rPr>
            <w:rStyle w:val="InternetLink"/>
            <w:rFonts w:ascii="Liberation Sans" w:hAnsi="Liberation Sans"/>
          </w:rPr>
          <w:t>Some Games That May Be Nice or Nasty</w:t>
        </w:r>
      </w:hyperlink>
      <w:r>
        <w:rPr>
          <w:rFonts w:ascii="Liberation Sans" w:hAnsi="Liberation Sans"/>
        </w:rPr>
        <w:t>.</w:t>
        <w:br/>
        <w:br/>
        <w:br/>
      </w:r>
      <w:r>
        <w:rPr>
          <w:rStyle w:val="StrongEmphasis"/>
          <w:rFonts w:ascii="Liberation Sans" w:hAnsi="Liberation Sans"/>
        </w:rPr>
        <w:t>5. Amount</w:t>
      </w:r>
      <w:r>
        <w:drawing>
          <wp:anchor behindDoc="0" distT="95250" distB="95250" distL="95250" distR="95250" simplePos="0" locked="0" layoutInCell="1" allowOverlap="1" relativeHeight="22">
            <wp:simplePos x="0" y="0"/>
            <wp:positionH relativeFrom="column">
              <wp:posOffset>5071110</wp:posOffset>
            </wp:positionH>
            <wp:positionV relativeFrom="line">
              <wp:posOffset>10160</wp:posOffset>
            </wp:positionV>
            <wp:extent cx="953770" cy="953770"/>
            <wp:effectExtent l="0" t="0" r="0" b="0"/>
            <wp:wrapSquare wrapText="largest"/>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32"/>
                    <a:stretch>
                      <a:fillRect/>
                    </a:stretch>
                  </pic:blipFill>
                  <pic:spPr bwMode="auto">
                    <a:xfrm>
                      <a:off x="0" y="0"/>
                      <a:ext cx="953770" cy="953770"/>
                    </a:xfrm>
                    <a:prstGeom prst="rect">
                      <a:avLst/>
                    </a:prstGeom>
                  </pic:spPr>
                </pic:pic>
              </a:graphicData>
            </a:graphic>
          </wp:anchor>
        </w:drawing>
      </w:r>
      <w:r>
        <w:rPr>
          <w:rFonts w:ascii="Liberation Sans" w:hAnsi="Liberation Sans"/>
        </w:rPr>
        <w:br/>
      </w:r>
      <w:r>
        <w:rPr>
          <w:rFonts w:ascii="Liberation Sans" w:hAnsi="Liberation Sans"/>
        </w:rPr>
        <w:t xml:space="preserve">This final key element associated with place value refers to knowing that, for example, '6 tens' is equivalent to 'sixty'. </w:t>
      </w:r>
      <w:hyperlink r:id="rId33">
        <w:r>
          <w:rPr>
            <w:rStyle w:val="InternetLink"/>
            <w:rFonts w:ascii="Liberation Sans" w:hAnsi="Liberation Sans"/>
          </w:rPr>
          <w:t>Matching Numbers</w:t>
        </w:r>
      </w:hyperlink>
      <w:r>
        <w:rPr>
          <w:rFonts w:ascii="Liberation Sans" w:hAnsi="Liberation Sans"/>
        </w:rPr>
        <w:t xml:space="preserve"> is a very accessible 'matching pairs' interactive game which focuses on interpreting numbers represented in different ways. </w:t>
      </w:r>
      <w:hyperlink r:id="rId34">
        <w:r>
          <w:rPr>
            <w:rStyle w:val="InternetLink"/>
            <w:rFonts w:ascii="Liberation Sans" w:hAnsi="Liberation Sans"/>
          </w:rPr>
          <w:t>Count The Crayons</w:t>
        </w:r>
      </w:hyperlink>
      <w:r>
        <w:rPr>
          <w:rFonts w:ascii="Liberation Sans" w:hAnsi="Liberation Sans"/>
        </w:rPr>
        <w:t xml:space="preserve">, another lower primary activity, also supports this aspect and leads on to encouraging children to work with groups of ten, termed 'unitising' (see Jenni's third article </w:t>
      </w:r>
      <w:hyperlink r:id="rId35">
        <w:r>
          <w:rPr>
            <w:rStyle w:val="InternetLink"/>
            <w:rFonts w:ascii="Liberation Sans" w:hAnsi="Liberation Sans"/>
          </w:rPr>
          <w:t>Place Value as a Building Block for Developing Fluency in the Calculating Process</w:t>
        </w:r>
      </w:hyperlink>
      <w:r>
        <w:rPr>
          <w:rFonts w:ascii="Liberation Sans" w:hAnsi="Liberation Sans"/>
        </w:rPr>
        <w:t xml:space="preserve">). </w:t>
      </w:r>
      <w:hyperlink r:id="rId36">
        <w:r>
          <w:rPr>
            <w:rStyle w:val="InternetLink"/>
            <w:rFonts w:ascii="Liberation Sans" w:hAnsi="Liberation Sans"/>
          </w:rPr>
          <w:t>How Would We Count?</w:t>
        </w:r>
      </w:hyperlink>
      <w:r>
        <w:rPr>
          <w:rFonts w:ascii="Liberation Sans" w:hAnsi="Liberation Sans"/>
        </w:rPr>
        <w:t xml:space="preserve"> and </w:t>
      </w:r>
      <w:hyperlink r:id="rId37">
        <w:r>
          <w:rPr>
            <w:rStyle w:val="InternetLink"/>
            <w:rFonts w:ascii="Liberation Sans" w:hAnsi="Liberation Sans"/>
          </w:rPr>
          <w:t>Fingers and Hands</w:t>
        </w:r>
      </w:hyperlink>
      <w:r>
        <w:rPr>
          <w:rFonts w:ascii="Liberation Sans" w:hAnsi="Liberation Sans"/>
        </w:rPr>
        <w:t xml:space="preserve"> offer similar challenges.</w:t>
        <w:br/>
        <w:br/>
        <w:t>Of course, you will have noticed that the majority of NRICH tasks do not address just one single aspect of place value in isolation, rather they give contexts in which to make connections between several aspects at once.</w:t>
        <w:br/>
        <w:br/>
        <w:br/>
      </w:r>
      <w:r>
        <w:rPr>
          <w:rFonts w:ascii="Liberation Sans" w:hAnsi="Liberation Sans"/>
          <w:u w:val="single"/>
        </w:rPr>
        <w:t>The Gattegno Tens Chart</w:t>
      </w:r>
      <w:r>
        <w:rPr>
          <w:rFonts w:ascii="Liberation Sans" w:hAnsi="Liberation Sans"/>
        </w:rPr>
        <w:br/>
      </w:r>
      <w:r>
        <w:rPr>
          <w:rFonts w:ascii="Liberation Sans" w:hAnsi="Liberation Sans"/>
        </w:rPr>
        <w:drawing>
          <wp:inline distT="0" distB="0" distL="0" distR="0">
            <wp:extent cx="5476875" cy="1714500"/>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38"/>
                    <a:stretch>
                      <a:fillRect/>
                    </a:stretch>
                  </pic:blipFill>
                  <pic:spPr bwMode="auto">
                    <a:xfrm>
                      <a:off x="0" y="0"/>
                      <a:ext cx="5476875" cy="1714500"/>
                    </a:xfrm>
                    <a:prstGeom prst="rect">
                      <a:avLst/>
                    </a:prstGeom>
                  </pic:spPr>
                </pic:pic>
              </a:graphicData>
            </a:graphic>
          </wp:inline>
        </w:drawing>
      </w:r>
      <w:r>
        <w:rPr>
          <w:rFonts w:ascii="Liberation Sans" w:hAnsi="Liberation Sans"/>
        </w:rPr>
        <w:br/>
        <w:t xml:space="preserve">Similarly, the Gattegno tens chart is an invaluable resource in this context which can help to develop all aspects of place value. In his article, </w:t>
      </w:r>
      <w:hyperlink r:id="rId39">
        <w:r>
          <w:rPr>
            <w:rStyle w:val="InternetLink"/>
            <w:rFonts w:ascii="Liberation Sans" w:hAnsi="Liberation Sans"/>
          </w:rPr>
          <w:t>Journeys on the Gattegno Tens Chart</w:t>
        </w:r>
      </w:hyperlink>
      <w:r>
        <w:rPr>
          <w:rFonts w:ascii="Liberation Sans" w:hAnsi="Liberation Sans"/>
        </w:rPr>
        <w:t xml:space="preserve">, Alf Coles describes a project in which a Year 3/4 class (7-9 year olds) gained an awareness of place value and of the inverse relationship between multiplication and division. In his </w:t>
      </w:r>
      <w:hyperlink r:id="rId40">
        <w:r>
          <w:rPr>
            <w:rStyle w:val="InternetLink"/>
            <w:rFonts w:ascii="Liberation Sans" w:hAnsi="Liberation Sans"/>
          </w:rPr>
          <w:t>follow-up article</w:t>
        </w:r>
      </w:hyperlink>
      <w:r>
        <w:rPr>
          <w:rFonts w:ascii="Liberation Sans" w:hAnsi="Liberation Sans"/>
        </w:rPr>
        <w:t>, Alf outlines six classroom activities which progress from reading, writing and ordering numbers up to finding percentages of any number, all using the Gattegno chart.</w:t>
        <w:br/>
        <w:br/>
        <w:br/>
      </w:r>
      <w:r>
        <w:rPr>
          <w:rStyle w:val="StrongEmphasis"/>
          <w:rFonts w:ascii="Liberation Sans" w:hAnsi="Liberation Sans"/>
        </w:rPr>
        <w:t>Number Sense and Place Value in the New National Curriculum</w:t>
      </w:r>
      <w:r>
        <w:rPr>
          <w:rFonts w:ascii="Liberation Sans" w:hAnsi="Liberation Sans"/>
        </w:rPr>
        <w:br/>
        <w:t xml:space="preserve">Those of us teaching in England are currently (February 2013) in the transition phase between old and new national curricular. The </w:t>
      </w:r>
      <w:hyperlink r:id="rId41">
        <w:r>
          <w:rPr>
            <w:rStyle w:val="InternetLink"/>
            <w:rFonts w:ascii="Liberation Sans" w:hAnsi="Liberation Sans"/>
          </w:rPr>
          <w:t>new mathematics national curriculum</w:t>
        </w:r>
      </w:hyperlink>
      <w:r>
        <w:rPr>
          <w:rFonts w:ascii="Liberation Sans" w:hAnsi="Liberation Sans"/>
        </w:rPr>
        <w:t xml:space="preserve"> contains more challenging content compared with the old version. In this context, therefore, we need to make sure we give children sufficient time to embed a sense of number and gain a deep understanding of place value. You may also be interested in Jenni's article </w:t>
      </w:r>
      <w:hyperlink r:id="rId42">
        <w:r>
          <w:rPr>
            <w:rStyle w:val="InternetLink"/>
            <w:rFonts w:ascii="Liberation Sans" w:hAnsi="Liberation Sans"/>
          </w:rPr>
          <w:t>Place Value as a Building Block for Developing Fluency in the Calculation Process</w:t>
        </w:r>
      </w:hyperlink>
      <w:r>
        <w:rPr>
          <w:rFonts w:ascii="Liberation Sans" w:hAnsi="Liberation Sans"/>
        </w:rPr>
        <w:t>. It discusses two further aspects of place value, exchange and unitising, which will help children to partition numbers and to calculate.</w:t>
        <w:br/>
        <w:br/>
        <w:t>The new curriculum also presents an opportunity to introduce a bit of history. Children often struggle to see any reason why we should want to develop a place value system and would prefer to continue to adopt different symbols for successive digits. This is the time you could explore some historic systems such as Roman numerals and consider the problems they create with representation and calculation. 83 + 49 becomes LXXXIII + XLIX and the calculation depends on subtle interpretations of the ‘I’ and ‘X’ to take account of the fact that they mean one less than ten and ten less than fifty in the number XLIX. Calculations become very tricky with Roman numerals but it took human civilisations a long time to develop base ten number systems that overcame the difficulties. The Babylonians used a base 60 system and we can still see vestiges of this in our measuring systems for time and also for angles which involve multiples of 60.</w:t>
        <w:br/>
        <w:br/>
        <w:br/>
      </w:r>
      <w:r>
        <w:rPr>
          <w:rStyle w:val="StrongEmphasis"/>
          <w:rFonts w:ascii="Liberation Sans" w:hAnsi="Liberation Sans"/>
        </w:rPr>
        <w:t>In Conclusion</w:t>
      </w:r>
      <w:r>
        <w:rPr>
          <w:rFonts w:ascii="Liberation Sans" w:hAnsi="Liberation Sans"/>
        </w:rPr>
        <w:br/>
        <w:t xml:space="preserve">All the articles and activities we refer to above can be found in our </w:t>
      </w:r>
      <w:hyperlink r:id="rId43">
        <w:r>
          <w:rPr>
            <w:rStyle w:val="InternetLink"/>
            <w:rFonts w:ascii="Liberation Sans" w:hAnsi="Liberation Sans"/>
          </w:rPr>
          <w:t>Number Sense and Place Value Feature</w:t>
        </w:r>
      </w:hyperlink>
      <w:r>
        <w:rPr>
          <w:rFonts w:ascii="Liberation Sans" w:hAnsi="Liberation Sans"/>
        </w:rPr>
        <w:t>. We hope you enjoy working on these important mathematical ideas with your children and that their understanding is enhanced as a result.</w:t>
      </w:r>
    </w:p>
    <w:sectPr>
      <w:headerReference w:type="default" r:id="rId44"/>
      <w:footerReference w:type="default" r:id="rId45"/>
      <w:type w:val="nextPage"/>
      <w:pgSz w:w="11906" w:h="16838"/>
      <w:pgMar w:left="1134" w:right="1134" w:header="1134" w:top="1700" w:footer="518" w:bottom="171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Arial">
    <w:charset w:val="01"/>
    <w:family w:val="roman"/>
    <w:pitch w:val="variable"/>
  </w:font>
  <w:font w:name="Liberation Sans">
    <w:altName w:val="Arial"/>
    <w:charset w:val="01"/>
    <w:family w:val="swiss"/>
    <w:pitch w:val="variable"/>
  </w:font>
  <w:font w:name="Tahoma">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10739</w:t>
    </w:r>
  </w:p>
  <w:p>
    <w:pPr>
      <w:pStyle w:val="HeaderFooter"/>
      <w:rPr/>
    </w:pPr>
    <w:r>
      <w:rPr>
        <w:sz w:val="18"/>
        <w:szCs w:val="18"/>
      </w:rPr>
      <w:t xml:space="preserve">Published </w:t>
    </w:r>
    <w:r>
      <w:rPr>
        <w:sz w:val="18"/>
        <w:szCs w:val="18"/>
      </w:rPr>
      <w:t>February 2014</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6">
              <wp:simplePos x="0" y="0"/>
              <wp:positionH relativeFrom="column">
                <wp:posOffset>-149860</wp:posOffset>
              </wp:positionH>
              <wp:positionV relativeFrom="paragraph">
                <wp:posOffset>-542290</wp:posOffset>
              </wp:positionV>
              <wp:extent cx="6596380" cy="756920"/>
              <wp:effectExtent l="0" t="0" r="0" b="0"/>
              <wp:wrapTopAndBottom/>
              <wp:docPr id="7" name="Shape1"/>
              <a:graphic xmlns:a="http://schemas.openxmlformats.org/drawingml/2006/main">
                <a:graphicData uri="http://schemas.microsoft.com/office/word/2010/wordprocessingGroup">
                  <wpg:wgp>
                    <wpg:cNvGrpSpPr/>
                    <wpg:grpSpPr>
                      <a:xfrm>
                        <a:off x="0" y="0"/>
                        <a:ext cx="6595920" cy="756360"/>
                      </a:xfrm>
                    </wpg:grpSpPr>
                    <pic:pic xmlns:pic="http://schemas.openxmlformats.org/drawingml/2006/picture">
                      <pic:nvPicPr>
                        <pic:cNvPr id="0" name="" descr=""/>
                        <pic:cNvPicPr/>
                      </pic:nvPicPr>
                      <pic:blipFill>
                        <a:blip r:embed="rId1"/>
                        <a:stretch/>
                      </pic:blipFill>
                      <pic:spPr>
                        <a:xfrm>
                          <a:off x="0" y="14040"/>
                          <a:ext cx="509760" cy="689040"/>
                        </a:xfrm>
                        <a:prstGeom prst="rect">
                          <a:avLst/>
                        </a:prstGeom>
                        <a:ln>
                          <a:noFill/>
                        </a:ln>
                      </pic:spPr>
                    </pic:pic>
                    <wps:wsp>
                      <wps:cNvSpPr/>
                      <wps:spPr>
                        <a:xfrm>
                          <a:off x="550080" y="0"/>
                          <a:ext cx="6045840" cy="75636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8pt;margin-top:-42.7pt;width:519.35pt;height:59.55pt" coordorigin="-236,-854" coordsize="10387,1191">
              <v:rect id="shape_0" stroked="f" style="position:absolute;left:-236;top:-832;width:802;height:1084">
                <v:imagedata r:id="rId1" o:detectmouseclick="t"/>
                <w10:wrap type="none"/>
                <v:stroke color="#3465a4" joinstyle="round" endcap="flat"/>
              </v:rect>
              <v:rect id="shape_0" fillcolor="white" stroked="f" style="position:absolute;left:630;top:-854;width:9520;height:1190">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11">
              <wp:simplePos x="0" y="0"/>
              <wp:positionH relativeFrom="column">
                <wp:posOffset>2363470</wp:posOffset>
              </wp:positionH>
              <wp:positionV relativeFrom="paragraph">
                <wp:posOffset>-624840</wp:posOffset>
              </wp:positionV>
              <wp:extent cx="3918585" cy="789940"/>
              <wp:effectExtent l="0" t="0" r="0" b="0"/>
              <wp:wrapNone/>
              <wp:docPr id="8" name="Shape2"/>
              <a:graphic xmlns:a="http://schemas.openxmlformats.org/drawingml/2006/main">
                <a:graphicData uri="http://schemas.microsoft.com/office/word/2010/wordprocessingShape">
                  <wps:wsp>
                    <wps:cNvSpPr/>
                    <wps:spPr>
                      <a:xfrm>
                        <a:off x="0" y="0"/>
                        <a:ext cx="3917880" cy="789480"/>
                      </a:xfrm>
                      <a:prstGeom prst="rect">
                        <a:avLst/>
                      </a:prstGeom>
                      <a:noFill/>
                      <a:ln>
                        <a:noFill/>
                      </a:ln>
                    </wps:spPr>
                    <wps:style>
                      <a:lnRef idx="0"/>
                      <a:fillRef idx="0"/>
                      <a:effectRef idx="0"/>
                      <a:fontRef idx="minor"/>
                    </wps:style>
                    <wps:txbx>
                      <w:txbxContent>
                        <w:p>
                          <w:pPr>
                            <w:pStyle w:val="Heading1"/>
                            <w:overflowPunct w:val="false"/>
                            <w:bidi w:val="0"/>
                            <w:spacing w:before="240" w:after="120"/>
                            <w:jc w:val="right"/>
                            <w:rPr>
                              <w:sz w:val="28"/>
                              <w:szCs w:val="28"/>
                            </w:rPr>
                          </w:pPr>
                          <w:r>
                            <w:rPr>
                              <w:rFonts w:ascii="Tahoma" w:hAnsi="Tahoma"/>
                              <w:b/>
                              <w:bCs/>
                              <w:color w:val="FFFFFF"/>
                              <w:sz w:val="28"/>
                              <w:szCs w:val="28"/>
                            </w:rPr>
                            <w:t>How Can I Support the Development of Early Number Sense and Place Value?</w:t>
                          </w:r>
                        </w:p>
                        <w:p>
                          <w:pPr>
                            <w:pStyle w:val="FrameContents"/>
                            <w:overflowPunct w:val="false"/>
                            <w:bidi w:val="0"/>
                            <w:jc w:val="right"/>
                            <w:rPr/>
                          </w:pPr>
                          <w:r>
                            <w:rPr>
                              <w:rFonts w:ascii="Tahoma" w:hAnsi="Tahoma"/>
                              <w:b/>
                              <w:bCs/>
                              <w:color w:val="FFFFFF"/>
                              <w:sz w:val="20"/>
                              <w:szCs w:val="20"/>
                            </w:rPr>
                            <w:t>By Liz Woodham and Jennie Pennant</w:t>
                          </w:r>
                        </w:p>
                      </w:txbxContent>
                    </wps:txbx>
                    <wps:bodyPr lIns="0" rIns="0" tIns="0" bIns="0">
                      <a:spAutoFit/>
                    </wps:bodyPr>
                  </wps:wsp>
                </a:graphicData>
              </a:graphic>
            </wp:anchor>
          </w:drawing>
        </mc:Choice>
        <mc:Fallback>
          <w:pict>
            <v:rect id="shape_0" ID="Shape2" stroked="f" style="position:absolute;margin-left:186.1pt;margin-top:-49.2pt;width:308.45pt;height:62.1pt">
              <w10:wrap type="square"/>
              <v:fill o:detectmouseclick="t" on="false"/>
              <v:stroke color="#3465a4" joinstyle="round" endcap="flat"/>
              <v:textbox>
                <w:txbxContent>
                  <w:p>
                    <w:pPr>
                      <w:pStyle w:val="Heading1"/>
                      <w:overflowPunct w:val="false"/>
                      <w:bidi w:val="0"/>
                      <w:spacing w:before="240" w:after="120"/>
                      <w:jc w:val="right"/>
                      <w:rPr>
                        <w:sz w:val="28"/>
                        <w:szCs w:val="28"/>
                      </w:rPr>
                    </w:pPr>
                    <w:r>
                      <w:rPr>
                        <w:rFonts w:ascii="Tahoma" w:hAnsi="Tahoma"/>
                        <w:b/>
                        <w:bCs/>
                        <w:color w:val="FFFFFF"/>
                        <w:sz w:val="28"/>
                        <w:szCs w:val="28"/>
                      </w:rPr>
                      <w:t>How Can I Support the Development of Early Number Sense and Place Value?</w:t>
                    </w:r>
                  </w:p>
                  <w:p>
                    <w:pPr>
                      <w:pStyle w:val="FrameContents"/>
                      <w:overflowPunct w:val="false"/>
                      <w:bidi w:val="0"/>
                      <w:jc w:val="right"/>
                      <w:rPr/>
                    </w:pPr>
                    <w:r>
                      <w:rPr>
                        <w:rFonts w:ascii="Tahoma" w:hAnsi="Tahoma"/>
                        <w:b/>
                        <w:bCs/>
                        <w:color w:val="FFFFFF"/>
                        <w:sz w:val="20"/>
                        <w:szCs w:val="20"/>
                      </w:rPr>
                      <w:t>By Liz Woodham and Jennie Pennant</w:t>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character" w:styleId="StrongEmphasis">
    <w:name w:val="Strong Emphasis"/>
    <w:qFormat/>
    <w:rPr>
      <w:b/>
      <w:bCs/>
    </w:rPr>
  </w:style>
  <w:style w:type="character" w:styleId="InternetLink">
    <w:name w:val="Internet Link"/>
    <w:rPr>
      <w:color w:val="000080"/>
      <w:u w:val="single"/>
      <w:lang w:val="zxx" w:eastAsia="zxx" w:bidi="zxx"/>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rich.maths.org/10737" TargetMode="External"/><Relationship Id="rId3" Type="http://schemas.openxmlformats.org/officeDocument/2006/relationships/hyperlink" Target="https://nrich.maths.org/10738" TargetMode="External"/><Relationship Id="rId4" Type="http://schemas.openxmlformats.org/officeDocument/2006/relationships/hyperlink" Target="https://nrich.maths.org/10737" TargetMode="External"/><Relationship Id="rId5" Type="http://schemas.openxmlformats.org/officeDocument/2006/relationships/hyperlink" Target="https://nrich.maths.org/2477" TargetMode="External"/><Relationship Id="rId6" Type="http://schemas.openxmlformats.org/officeDocument/2006/relationships/hyperlink" Target="https://nrich.maths.org/10740" TargetMode="External"/><Relationship Id="rId7" Type="http://schemas.openxmlformats.org/officeDocument/2006/relationships/hyperlink" Target="https://nrich.maths.org/10737" TargetMode="External"/><Relationship Id="rId8" Type="http://schemas.openxmlformats.org/officeDocument/2006/relationships/hyperlink" Target="https://nrich.maths.org/8119" TargetMode="External"/><Relationship Id="rId9" Type="http://schemas.openxmlformats.org/officeDocument/2006/relationships/image" Target="media/image1.gif"/><Relationship Id="rId10" Type="http://schemas.openxmlformats.org/officeDocument/2006/relationships/hyperlink" Target="https://nrich.maths.org/10737" TargetMode="External"/><Relationship Id="rId11" Type="http://schemas.openxmlformats.org/officeDocument/2006/relationships/hyperlink" Target="https://nrich.maths.org/content/id/10739/HungarianNumberPictures.pdf" TargetMode="External"/><Relationship Id="rId12" Type="http://schemas.openxmlformats.org/officeDocument/2006/relationships/image" Target="media/image2.jpeg"/><Relationship Id="rId13" Type="http://schemas.openxmlformats.org/officeDocument/2006/relationships/hyperlink" Target="https://nrich.maths.org/early-years" TargetMode="External"/><Relationship Id="rId14" Type="http://schemas.openxmlformats.org/officeDocument/2006/relationships/hyperlink" Target="https://nrich.maths.org/content/id/9969/GoldenBeans.pdf" TargetMode="External"/><Relationship Id="rId15" Type="http://schemas.openxmlformats.org/officeDocument/2006/relationships/hyperlink" Target="https://nrich.maths.org/content/id/9888/Dice.pdf" TargetMode="External"/><Relationship Id="rId16" Type="http://schemas.openxmlformats.org/officeDocument/2006/relationships/hyperlink" Target="https://nrich.maths.org/content/id/8863/Incey Wincey.pdf" TargetMode="External"/><Relationship Id="rId17" Type="http://schemas.openxmlformats.org/officeDocument/2006/relationships/hyperlink" Target="https://nrich.maths.org/content/id/8859/NumberRhymes.pdf" TargetMode="External"/><Relationship Id="rId18" Type="http://schemas.openxmlformats.org/officeDocument/2006/relationships/hyperlink" Target="https://nrich.maths.org/6937" TargetMode="External"/><Relationship Id="rId19" Type="http://schemas.openxmlformats.org/officeDocument/2006/relationships/hyperlink" Target="https://nrich.maths.org/10738" TargetMode="External"/><Relationship Id="rId20" Type="http://schemas.openxmlformats.org/officeDocument/2006/relationships/hyperlink" Target="https://nrich.maths.org/10742" TargetMode="External"/><Relationship Id="rId21" Type="http://schemas.openxmlformats.org/officeDocument/2006/relationships/image" Target="media/image3.jpeg"/><Relationship Id="rId22" Type="http://schemas.openxmlformats.org/officeDocument/2006/relationships/hyperlink" Target="https://nrich.maths.org/168" TargetMode="External"/><Relationship Id="rId23" Type="http://schemas.openxmlformats.org/officeDocument/2006/relationships/hyperlink" Target="https://nrich.maths.org/8169" TargetMode="External"/><Relationship Id="rId24" Type="http://schemas.openxmlformats.org/officeDocument/2006/relationships/hyperlink" Target="https://nrich.maths.org/6554" TargetMode="External"/><Relationship Id="rId25" Type="http://schemas.openxmlformats.org/officeDocument/2006/relationships/image" Target="media/image4.jpeg"/><Relationship Id="rId26" Type="http://schemas.openxmlformats.org/officeDocument/2006/relationships/hyperlink" Target="https://nrich.maths.org/152" TargetMode="External"/><Relationship Id="rId27" Type="http://schemas.openxmlformats.org/officeDocument/2006/relationships/hyperlink" Target="https://nrich.maths.org/6343" TargetMode="External"/><Relationship Id="rId28" Type="http://schemas.openxmlformats.org/officeDocument/2006/relationships/hyperlink" Target="https://nrich.maths.org/10586" TargetMode="External"/><Relationship Id="rId29" Type="http://schemas.openxmlformats.org/officeDocument/2006/relationships/hyperlink" Target="https://nrich.maths.org/7431" TargetMode="External"/><Relationship Id="rId30" Type="http://schemas.openxmlformats.org/officeDocument/2006/relationships/hyperlink" Target="https://nrich.maths.org/774" TargetMode="External"/><Relationship Id="rId31" Type="http://schemas.openxmlformats.org/officeDocument/2006/relationships/hyperlink" Target="https://nrich.maths.org/6605" TargetMode="External"/><Relationship Id="rId32" Type="http://schemas.openxmlformats.org/officeDocument/2006/relationships/image" Target="media/image5.png"/><Relationship Id="rId33" Type="http://schemas.openxmlformats.org/officeDocument/2006/relationships/hyperlink" Target="https://nrich.maths.org/8282" TargetMode="External"/><Relationship Id="rId34" Type="http://schemas.openxmlformats.org/officeDocument/2006/relationships/hyperlink" Target="https://nrich.maths.org/10653" TargetMode="External"/><Relationship Id="rId35" Type="http://schemas.openxmlformats.org/officeDocument/2006/relationships/hyperlink" Target="https://nrich.maths.org/10769" TargetMode="External"/><Relationship Id="rId36" Type="http://schemas.openxmlformats.org/officeDocument/2006/relationships/hyperlink" Target="https://nrich.maths.org/8123" TargetMode="External"/><Relationship Id="rId37" Type="http://schemas.openxmlformats.org/officeDocument/2006/relationships/hyperlink" Target="https://nrich.maths.org/6878" TargetMode="External"/><Relationship Id="rId38" Type="http://schemas.openxmlformats.org/officeDocument/2006/relationships/image" Target="media/image6.png"/><Relationship Id="rId39" Type="http://schemas.openxmlformats.org/officeDocument/2006/relationships/hyperlink" Target="https://nrich.maths.org/10314" TargetMode="External"/><Relationship Id="rId40" Type="http://schemas.openxmlformats.org/officeDocument/2006/relationships/hyperlink" Target="https://nrich.maths.org/10741" TargetMode="External"/><Relationship Id="rId41" Type="http://schemas.openxmlformats.org/officeDocument/2006/relationships/hyperlink" Target="https://www.gov.uk/government/publications/national-curriculum-in-england-mathematics-programmes-of-study" TargetMode="External"/><Relationship Id="rId42" Type="http://schemas.openxmlformats.org/officeDocument/2006/relationships/hyperlink" Target="https://nrich.maths.org/10769" TargetMode="External"/><Relationship Id="rId43" Type="http://schemas.openxmlformats.org/officeDocument/2006/relationships/hyperlink" Target="https://nrich.maths.org/10712" TargetMode="External"/><Relationship Id="rId44" Type="http://schemas.openxmlformats.org/officeDocument/2006/relationships/header" Target="header1.xml"/><Relationship Id="rId45" Type="http://schemas.openxmlformats.org/officeDocument/2006/relationships/footer" Target="footer1.xml"/><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7.png"/>
</Relationships>
</file>

<file path=docProps/app.xml><?xml version="1.0" encoding="utf-8"?>
<Properties xmlns="http://schemas.openxmlformats.org/officeDocument/2006/extended-properties" xmlns:vt="http://schemas.openxmlformats.org/officeDocument/2006/docPropsVTypes">
  <Template/>
  <TotalTime>328</TotalTime>
  <Application>LibreOffice/5.4.7.2$Linux_X86_64 LibreOffice_project/40$Build-2</Application>
  <Pages>5</Pages>
  <Words>1704</Words>
  <Characters>8457</Characters>
  <CharactersWithSpaces>10177</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2018-06-13T15:35:32Z</dcterms:modified>
  <cp:revision>16</cp:revision>
  <dc:subject/>
  <dc:title/>
</cp:coreProperties>
</file>